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362" w:rsidRPr="004A4742" w:rsidRDefault="00E31362" w:rsidP="00E31362">
      <w:pPr>
        <w:jc w:val="center"/>
        <w:rPr>
          <w:b/>
          <w:szCs w:val="24"/>
          <w:lang w:val="es-MX"/>
        </w:rPr>
      </w:pPr>
      <w:bookmarkStart w:id="0" w:name="PLey"/>
      <w:bookmarkEnd w:id="0"/>
      <w:r w:rsidRPr="004A4742">
        <w:rPr>
          <w:b/>
          <w:szCs w:val="24"/>
          <w:lang w:val="es-MX"/>
        </w:rPr>
        <w:t>PROYECTO DE LEY</w:t>
      </w:r>
    </w:p>
    <w:p w:rsidR="00E31362" w:rsidRPr="004A4742" w:rsidRDefault="00E31362" w:rsidP="00E31362">
      <w:pPr>
        <w:rPr>
          <w:b/>
          <w:szCs w:val="24"/>
          <w:lang w:val="es-MX"/>
        </w:rPr>
      </w:pPr>
    </w:p>
    <w:p w:rsidR="00E31362" w:rsidRDefault="00E31362" w:rsidP="00E31362">
      <w:pPr>
        <w:shd w:val="clear" w:color="auto" w:fill="FFFFFF"/>
        <w:rPr>
          <w:color w:val="26282A"/>
          <w:szCs w:val="24"/>
          <w:lang w:eastAsia="es-AR"/>
        </w:rPr>
      </w:pPr>
      <w:r w:rsidRPr="004A4742">
        <w:rPr>
          <w:color w:val="26282A"/>
          <w:szCs w:val="24"/>
          <w:lang w:eastAsia="es-AR"/>
        </w:rPr>
        <w:t>Art</w:t>
      </w:r>
      <w:r>
        <w:rPr>
          <w:color w:val="26282A"/>
          <w:szCs w:val="24"/>
          <w:lang w:eastAsia="es-AR"/>
        </w:rPr>
        <w:t>ículo</w:t>
      </w:r>
      <w:r w:rsidRPr="004A4742">
        <w:rPr>
          <w:color w:val="26282A"/>
          <w:szCs w:val="24"/>
          <w:lang w:eastAsia="es-AR"/>
        </w:rPr>
        <w:t xml:space="preserve"> 1</w:t>
      </w:r>
      <w:r>
        <w:rPr>
          <w:color w:val="26282A"/>
          <w:szCs w:val="24"/>
          <w:lang w:eastAsia="es-AR"/>
        </w:rPr>
        <w:t>°</w:t>
      </w:r>
      <w:r w:rsidRPr="004A4742">
        <w:rPr>
          <w:color w:val="26282A"/>
          <w:szCs w:val="24"/>
          <w:lang w:eastAsia="es-AR"/>
        </w:rPr>
        <w:t xml:space="preserve">.- El Presupuesto de la Ciudad de Buenos Aires </w:t>
      </w:r>
      <w:r>
        <w:rPr>
          <w:color w:val="26282A"/>
          <w:szCs w:val="24"/>
          <w:lang w:eastAsia="es-AR"/>
        </w:rPr>
        <w:t xml:space="preserve">deberá </w:t>
      </w:r>
      <w:r w:rsidRPr="004A4742">
        <w:rPr>
          <w:color w:val="26282A"/>
          <w:szCs w:val="24"/>
          <w:lang w:eastAsia="es-AR"/>
        </w:rPr>
        <w:t>preve</w:t>
      </w:r>
      <w:r>
        <w:rPr>
          <w:color w:val="26282A"/>
          <w:szCs w:val="24"/>
          <w:lang w:eastAsia="es-AR"/>
        </w:rPr>
        <w:t>r</w:t>
      </w:r>
      <w:r w:rsidRPr="004A4742">
        <w:rPr>
          <w:color w:val="26282A"/>
          <w:szCs w:val="24"/>
          <w:lang w:eastAsia="es-AR"/>
        </w:rPr>
        <w:t xml:space="preserve"> las partidas necesarias</w:t>
      </w:r>
      <w:r>
        <w:rPr>
          <w:color w:val="26282A"/>
          <w:szCs w:val="24"/>
          <w:lang w:eastAsia="es-AR"/>
        </w:rPr>
        <w:t xml:space="preserve"> para la ejecución del plan transversal que elabora el Consejo de los Derechos de Niños, Niñas y Adolescentes junto a las áreas ministeriales que tienen a su cargo las políticas sustantivas destinadas a la infancia.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sidRPr="004A4742">
        <w:rPr>
          <w:color w:val="26282A"/>
          <w:szCs w:val="24"/>
          <w:lang w:eastAsia="es-AR"/>
        </w:rPr>
        <w:t>Art</w:t>
      </w:r>
      <w:r>
        <w:rPr>
          <w:color w:val="26282A"/>
          <w:szCs w:val="24"/>
          <w:lang w:eastAsia="es-AR"/>
        </w:rPr>
        <w:t xml:space="preserve">ículo2°.-El plan transversal y el informe anual que establece la ley 114 deberán ser presentados cada año durante el período de discusión presupuestaria en la Legislatura de la Ciudad Autónoma de Buenos Aires. La presentación se realizará conjuntamente por el Consejo de los Derechos de Niños, Niñas y Adolescentes y las áreas que ejecutan planes y programas que tienen partidas presupuestarias con afectación directa a programas destinados a la infancia.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sidRPr="004A4742">
        <w:rPr>
          <w:color w:val="26282A"/>
          <w:szCs w:val="24"/>
          <w:lang w:eastAsia="es-AR"/>
        </w:rPr>
        <w:t>Art</w:t>
      </w:r>
      <w:r>
        <w:rPr>
          <w:color w:val="26282A"/>
          <w:szCs w:val="24"/>
          <w:lang w:eastAsia="es-AR"/>
        </w:rPr>
        <w:t>ículo3°.-</w:t>
      </w:r>
      <w:r w:rsidRPr="004A4742">
        <w:rPr>
          <w:color w:val="26282A"/>
          <w:szCs w:val="24"/>
          <w:lang w:eastAsia="es-AR"/>
        </w:rPr>
        <w:t xml:space="preserve"> La previsión presupuestaria en ningún caso podrá ser inferior a la mayor previsión o ejecución de ejercicios anteriores </w:t>
      </w:r>
      <w:r>
        <w:rPr>
          <w:color w:val="26282A"/>
          <w:szCs w:val="24"/>
          <w:lang w:eastAsia="es-AR"/>
        </w:rPr>
        <w:t xml:space="preserve">de los programas o planes vigentes </w:t>
      </w:r>
      <w:r w:rsidRPr="004A4742">
        <w:rPr>
          <w:color w:val="26282A"/>
          <w:szCs w:val="24"/>
          <w:lang w:eastAsia="es-AR"/>
        </w:rPr>
        <w:t xml:space="preserve">y deberá </w:t>
      </w:r>
      <w:r>
        <w:rPr>
          <w:color w:val="26282A"/>
          <w:szCs w:val="24"/>
          <w:lang w:eastAsia="es-AR"/>
        </w:rPr>
        <w:t xml:space="preserve">ser actualizado en base a la inflación anual </w:t>
      </w:r>
      <w:r w:rsidRPr="001D5BE5">
        <w:rPr>
          <w:color w:val="26282A"/>
          <w:szCs w:val="24"/>
          <w:lang w:eastAsia="es-AR"/>
        </w:rPr>
        <w:t xml:space="preserve">o el índice más beneficioso al momento de la elaboración presupuestaria. </w:t>
      </w:r>
    </w:p>
    <w:p w:rsidR="00E31362" w:rsidRPr="004A474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sidRPr="004A4742">
        <w:rPr>
          <w:color w:val="26282A"/>
          <w:szCs w:val="24"/>
          <w:lang w:eastAsia="es-AR"/>
        </w:rPr>
        <w:t>Art</w:t>
      </w:r>
      <w:r>
        <w:rPr>
          <w:color w:val="26282A"/>
          <w:szCs w:val="24"/>
          <w:lang w:eastAsia="es-AR"/>
        </w:rPr>
        <w:t>ículo4°</w:t>
      </w:r>
      <w:r w:rsidRPr="004A4742">
        <w:rPr>
          <w:color w:val="26282A"/>
          <w:szCs w:val="24"/>
          <w:lang w:eastAsia="es-AR"/>
        </w:rPr>
        <w:t>.-Dispóngase la intangibilidad de los fondos destinados a la infancia</w:t>
      </w:r>
      <w:r>
        <w:rPr>
          <w:color w:val="26282A"/>
          <w:szCs w:val="24"/>
          <w:lang w:eastAsia="es-AR"/>
        </w:rPr>
        <w:t xml:space="preserve"> y </w:t>
      </w:r>
      <w:r w:rsidRPr="004A4742">
        <w:rPr>
          <w:color w:val="26282A"/>
          <w:szCs w:val="24"/>
          <w:lang w:eastAsia="es-AR"/>
        </w:rPr>
        <w:t>adolescencia  establecidos en el presupuesto de la  Ciudad</w:t>
      </w:r>
      <w:r>
        <w:rPr>
          <w:color w:val="26282A"/>
          <w:szCs w:val="24"/>
          <w:lang w:eastAsia="es-AR"/>
        </w:rPr>
        <w:t xml:space="preserve"> Autónoma de buenos Aires</w:t>
      </w:r>
      <w:r w:rsidRPr="004A4742">
        <w:rPr>
          <w:color w:val="26282A"/>
          <w:szCs w:val="24"/>
          <w:lang w:eastAsia="es-AR"/>
        </w:rPr>
        <w:t>.</w:t>
      </w:r>
    </w:p>
    <w:p w:rsidR="00E31362" w:rsidRDefault="00E31362" w:rsidP="00E31362">
      <w:pPr>
        <w:shd w:val="clear" w:color="auto" w:fill="FFFFFF"/>
        <w:rPr>
          <w:color w:val="26282A"/>
          <w:szCs w:val="24"/>
          <w:lang w:eastAsia="es-AR"/>
        </w:rPr>
      </w:pPr>
    </w:p>
    <w:p w:rsidR="00E31362" w:rsidRPr="004A4742" w:rsidRDefault="00E31362" w:rsidP="00E31362">
      <w:pPr>
        <w:shd w:val="clear" w:color="auto" w:fill="FFFFFF"/>
        <w:rPr>
          <w:color w:val="26282A"/>
          <w:szCs w:val="24"/>
          <w:lang w:eastAsia="es-AR"/>
        </w:rPr>
      </w:pPr>
      <w:r>
        <w:rPr>
          <w:color w:val="26282A"/>
          <w:szCs w:val="24"/>
          <w:lang w:eastAsia="es-AR"/>
        </w:rPr>
        <w:t>Artículo 5°.- Comuníquese, etc.</w:t>
      </w:r>
    </w:p>
    <w:p w:rsidR="00E31362" w:rsidRPr="004A474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Señor Presidente:</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 xml:space="preserve">El </w:t>
      </w:r>
      <w:r w:rsidRPr="004A4742">
        <w:rPr>
          <w:color w:val="26282A"/>
          <w:szCs w:val="24"/>
          <w:lang w:eastAsia="es-AR"/>
        </w:rPr>
        <w:t xml:space="preserve">Consejo de los Derechos de Niños, Niñas y Adolescentes </w:t>
      </w:r>
      <w:r>
        <w:rPr>
          <w:color w:val="26282A"/>
          <w:szCs w:val="24"/>
          <w:lang w:eastAsia="es-AR"/>
        </w:rPr>
        <w:t>es el organismo que debe elaborar y monitorear el</w:t>
      </w:r>
      <w:r w:rsidRPr="004A4742">
        <w:rPr>
          <w:color w:val="26282A"/>
          <w:szCs w:val="24"/>
          <w:lang w:eastAsia="es-AR"/>
        </w:rPr>
        <w:t xml:space="preserve"> Plan </w:t>
      </w:r>
      <w:r>
        <w:rPr>
          <w:color w:val="26282A"/>
          <w:szCs w:val="24"/>
          <w:lang w:eastAsia="es-AR"/>
        </w:rPr>
        <w:t xml:space="preserve">transversal conjuntamente con las áreas ministeriales que ejecutan programas o planes destinados a los niños, niñas y adolescentes, como </w:t>
      </w:r>
      <w:r w:rsidRPr="004A4742">
        <w:rPr>
          <w:color w:val="26282A"/>
          <w:szCs w:val="24"/>
          <w:lang w:eastAsia="es-AR"/>
        </w:rPr>
        <w:t xml:space="preserve">lo establece la </w:t>
      </w:r>
      <w:r>
        <w:rPr>
          <w:color w:val="26282A"/>
          <w:szCs w:val="24"/>
          <w:lang w:eastAsia="es-AR"/>
        </w:rPr>
        <w:t>L</w:t>
      </w:r>
      <w:r w:rsidRPr="004A4742">
        <w:rPr>
          <w:color w:val="26282A"/>
          <w:szCs w:val="24"/>
          <w:lang w:eastAsia="es-AR"/>
        </w:rPr>
        <w:t xml:space="preserve">ey </w:t>
      </w:r>
      <w:r>
        <w:rPr>
          <w:color w:val="26282A"/>
          <w:szCs w:val="24"/>
          <w:lang w:eastAsia="es-AR"/>
        </w:rPr>
        <w:t>N°</w:t>
      </w:r>
      <w:r w:rsidRPr="004A4742">
        <w:rPr>
          <w:color w:val="26282A"/>
          <w:szCs w:val="24"/>
          <w:lang w:eastAsia="es-AR"/>
        </w:rPr>
        <w:t>114</w:t>
      </w:r>
      <w:r>
        <w:rPr>
          <w:color w:val="26282A"/>
          <w:szCs w:val="24"/>
          <w:lang w:eastAsia="es-AR"/>
        </w:rPr>
        <w:t xml:space="preserve"> en el art 54, inc a</w:t>
      </w:r>
      <w:r w:rsidRPr="004A4742">
        <w:rPr>
          <w:color w:val="26282A"/>
          <w:szCs w:val="24"/>
          <w:lang w:eastAsia="es-AR"/>
        </w:rPr>
        <w:t xml:space="preserve">.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000000"/>
          <w:szCs w:val="24"/>
          <w:lang w:val="es-AR" w:eastAsia="es-AR"/>
        </w:rPr>
      </w:pPr>
      <w:r>
        <w:rPr>
          <w:color w:val="26282A"/>
          <w:szCs w:val="24"/>
          <w:lang w:eastAsia="es-AR"/>
        </w:rPr>
        <w:t>El Consejo, es la autoridad de aplicación del Sistema de Protección Integral de Derechos en la Ciudad de Buenos Aires. Por lo tanto, tiene por ley la facultad de</w:t>
      </w:r>
      <w:r w:rsidRPr="00CA78AF">
        <w:rPr>
          <w:color w:val="000000"/>
          <w:szCs w:val="24"/>
          <w:lang w:val="es-AR" w:eastAsia="es-AR"/>
        </w:rPr>
        <w:t xml:space="preserve">proponer al Jefe de Gobierno el </w:t>
      </w:r>
      <w:r>
        <w:rPr>
          <w:color w:val="000000"/>
          <w:szCs w:val="24"/>
          <w:lang w:val="es-AR" w:eastAsia="es-AR"/>
        </w:rPr>
        <w:t>p</w:t>
      </w:r>
      <w:r w:rsidRPr="00CA78AF">
        <w:rPr>
          <w:color w:val="000000"/>
          <w:szCs w:val="24"/>
          <w:lang w:val="es-AR" w:eastAsia="es-AR"/>
        </w:rPr>
        <w:t xml:space="preserve">resupuesto del </w:t>
      </w:r>
      <w:r>
        <w:rPr>
          <w:color w:val="000000"/>
          <w:szCs w:val="24"/>
          <w:lang w:val="es-AR" w:eastAsia="es-AR"/>
        </w:rPr>
        <w:t>á</w:t>
      </w:r>
      <w:r w:rsidRPr="00CA78AF">
        <w:rPr>
          <w:color w:val="000000"/>
          <w:szCs w:val="24"/>
          <w:lang w:val="es-AR" w:eastAsia="es-AR"/>
        </w:rPr>
        <w:t xml:space="preserve">rea, </w:t>
      </w:r>
      <w:r>
        <w:rPr>
          <w:color w:val="000000"/>
          <w:szCs w:val="24"/>
          <w:lang w:val="es-AR" w:eastAsia="es-AR"/>
        </w:rPr>
        <w:t>los planes y c</w:t>
      </w:r>
      <w:r w:rsidRPr="00CA78AF">
        <w:rPr>
          <w:color w:val="000000"/>
          <w:szCs w:val="24"/>
          <w:lang w:val="es-AR" w:eastAsia="es-AR"/>
        </w:rPr>
        <w:t xml:space="preserve">álculos de </w:t>
      </w:r>
      <w:r>
        <w:rPr>
          <w:color w:val="000000"/>
          <w:szCs w:val="24"/>
          <w:lang w:val="es-AR" w:eastAsia="es-AR"/>
        </w:rPr>
        <w:t>r</w:t>
      </w:r>
      <w:r w:rsidRPr="00CA78AF">
        <w:rPr>
          <w:color w:val="000000"/>
          <w:szCs w:val="24"/>
          <w:lang w:val="es-AR" w:eastAsia="es-AR"/>
        </w:rPr>
        <w:t>ecurso</w:t>
      </w:r>
      <w:r>
        <w:rPr>
          <w:color w:val="000000"/>
          <w:szCs w:val="24"/>
          <w:lang w:val="es-AR" w:eastAsia="es-AR"/>
        </w:rPr>
        <w:t xml:space="preserve">s, como lo expresa </w:t>
      </w:r>
      <w:r>
        <w:rPr>
          <w:color w:val="000000"/>
          <w:szCs w:val="24"/>
          <w:lang w:val="es-AR" w:eastAsia="es-AR"/>
        </w:rPr>
        <w:lastRenderedPageBreak/>
        <w:t>el mismo artículo, inc j.  Y esta facultad, excede al presupuesto del propio organismo, involucra a las otras áreas que tienen a su cargo políticas de infancia, Desde luego, que esas definiciones, no son potestad única del Consejo, deben ser fruto del consenso y el diseño conjunto con las áreas sustantivas.</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 xml:space="preserve">Para lograr que el Consejo haga efectivas las facultades que la ley local le otorga, es necesario que tanto el Consejo de los Derechos como las áreas ministeriales que ejecutan las políticas públicas destinados a la infancia, a través de planes y planes. logren confluir en un plan de características transversal e integral que asegure el funcionamiento del sistema de protección integral de derechos de niños, niñas y adolescentes como establece la Ley 114.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 xml:space="preserve">La puesta en marcha de un plan de gobierno en favor de la infancia es posible siempre que exista un correlato presupuestario. Un plan transversal, no es la sumatoria de los recursos dispersos de cada ministerio, es un diseño general de política destinada a la infancia, que debe integrar un criterio (enfoque de derechos humanos) con los planes y programas en forma estratégica y coordinada, con el objetivo de otorgar una direccionalidad, establecer metas claras y cumplibles, fijando prioridades a partir de los problemas a resolver. Una vez que son definidas las metas y prioridades, las partidas presupuestarias deben ser reorientadas y/o reforzadas para cumplimentar lo dispuesto y evidenciar que existe una decisión política para instrumentarlas.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 xml:space="preserve">Precisamente este proyecto se propone, en primer lugar a que se prevean las partidas presupuestarias para elaboración y ejecución del Plan Transversal en favor de la infancia de la Ciudad de Buenos Aires.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En segundo lugar, establece que el Plan Transversal como el informe anual deba ser presentado ante la Legislatura en el período de la discusión presupuestaria, con el objeto de que el poder legislativo, como otro actor del sistema de protección integral de derechos, apruebe y apoye el destino de los recursos que sean utilizados en favor de la infancia.</w:t>
      </w:r>
    </w:p>
    <w:p w:rsidR="00E31362" w:rsidRDefault="00E31362" w:rsidP="00E31362">
      <w:pPr>
        <w:shd w:val="clear" w:color="auto" w:fill="FFFFFF"/>
        <w:rPr>
          <w:color w:val="26282A"/>
          <w:szCs w:val="24"/>
          <w:lang w:eastAsia="es-AR"/>
        </w:rPr>
      </w:pPr>
    </w:p>
    <w:p w:rsidR="00E31362" w:rsidRPr="00407F43" w:rsidRDefault="00E31362" w:rsidP="00E31362">
      <w:pPr>
        <w:shd w:val="clear" w:color="auto" w:fill="FFFFFF"/>
        <w:rPr>
          <w:color w:val="26282A"/>
          <w:szCs w:val="24"/>
          <w:lang w:eastAsia="es-AR"/>
        </w:rPr>
      </w:pPr>
      <w:r>
        <w:rPr>
          <w:color w:val="26282A"/>
          <w:szCs w:val="24"/>
          <w:lang w:eastAsia="es-AR"/>
        </w:rPr>
        <w:t xml:space="preserve">Una cuestión de no menor importancia es incluir un artículo de </w:t>
      </w:r>
      <w:r w:rsidRPr="004A4742">
        <w:rPr>
          <w:color w:val="26282A"/>
          <w:szCs w:val="24"/>
          <w:lang w:eastAsia="es-AR"/>
        </w:rPr>
        <w:t>previsión presupuestaria</w:t>
      </w:r>
      <w:r>
        <w:rPr>
          <w:color w:val="26282A"/>
          <w:szCs w:val="24"/>
          <w:lang w:eastAsia="es-AR"/>
        </w:rPr>
        <w:t xml:space="preserve">, lo que contribuye al cuidado de los fondos que serán destinados a estas políticas, ya que establece que </w:t>
      </w:r>
      <w:r w:rsidRPr="004A4742">
        <w:rPr>
          <w:color w:val="26282A"/>
          <w:szCs w:val="24"/>
          <w:lang w:eastAsia="es-AR"/>
        </w:rPr>
        <w:t xml:space="preserve">en ningún caso </w:t>
      </w:r>
      <w:r>
        <w:rPr>
          <w:color w:val="26282A"/>
          <w:szCs w:val="24"/>
          <w:lang w:eastAsia="es-AR"/>
        </w:rPr>
        <w:t xml:space="preserve">el presupuesto </w:t>
      </w:r>
      <w:r w:rsidRPr="004A4742">
        <w:rPr>
          <w:color w:val="26282A"/>
          <w:szCs w:val="24"/>
          <w:lang w:eastAsia="es-AR"/>
        </w:rPr>
        <w:t xml:space="preserve">podrá ser inferior a la mayor previsión o ejecución de ejercicios anteriores </w:t>
      </w:r>
      <w:r>
        <w:rPr>
          <w:color w:val="26282A"/>
          <w:szCs w:val="24"/>
          <w:lang w:eastAsia="es-AR"/>
        </w:rPr>
        <w:t xml:space="preserve">de los programas o planes vigentes </w:t>
      </w:r>
      <w:r w:rsidRPr="004A4742">
        <w:rPr>
          <w:color w:val="26282A"/>
          <w:szCs w:val="24"/>
          <w:lang w:eastAsia="es-AR"/>
        </w:rPr>
        <w:t xml:space="preserve">y deberá </w:t>
      </w:r>
      <w:r>
        <w:rPr>
          <w:color w:val="26282A"/>
          <w:szCs w:val="24"/>
          <w:lang w:eastAsia="es-AR"/>
        </w:rPr>
        <w:t xml:space="preserve">ser actualizado en base a la inflación anual </w:t>
      </w:r>
      <w:r w:rsidRPr="00407F43">
        <w:rPr>
          <w:color w:val="26282A"/>
          <w:szCs w:val="24"/>
          <w:lang w:eastAsia="es-AR"/>
        </w:rPr>
        <w:t xml:space="preserve">o el índice más beneficioso al momento de la elaboración presupuestaria.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 xml:space="preserve">Por último, ley 114 fue sancionada en el año 1998 y antecedió a la ley nacional 26.061 del año 2005, que crea el Sistema federal de Protección integral de derechos de Niñas, Niños y Adolescentes -que surge en gran parte- como consecuencia de la eclosión de leyes provinciales que fueron adecuando su normativa acorde a la Convención Internacional sobre los Derechos del Niño.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L</w:t>
      </w:r>
      <w:r w:rsidRPr="004A4742">
        <w:rPr>
          <w:color w:val="26282A"/>
          <w:szCs w:val="24"/>
          <w:lang w:eastAsia="es-AR"/>
        </w:rPr>
        <w:t xml:space="preserve">a </w:t>
      </w:r>
      <w:r>
        <w:rPr>
          <w:color w:val="26282A"/>
          <w:szCs w:val="24"/>
          <w:lang w:eastAsia="es-AR"/>
        </w:rPr>
        <w:t>L</w:t>
      </w:r>
      <w:r w:rsidRPr="004A4742">
        <w:rPr>
          <w:color w:val="26282A"/>
          <w:szCs w:val="24"/>
          <w:lang w:eastAsia="es-AR"/>
        </w:rPr>
        <w:t xml:space="preserve">ey </w:t>
      </w:r>
      <w:r>
        <w:rPr>
          <w:color w:val="26282A"/>
          <w:szCs w:val="24"/>
          <w:lang w:eastAsia="es-AR"/>
        </w:rPr>
        <w:t>N</w:t>
      </w:r>
      <w:r w:rsidRPr="004A4742">
        <w:rPr>
          <w:color w:val="26282A"/>
          <w:szCs w:val="24"/>
          <w:lang w:eastAsia="es-AR"/>
        </w:rPr>
        <w:t xml:space="preserve">acional </w:t>
      </w:r>
      <w:r>
        <w:rPr>
          <w:color w:val="26282A"/>
          <w:szCs w:val="24"/>
          <w:lang w:eastAsia="es-AR"/>
        </w:rPr>
        <w:t>N°</w:t>
      </w:r>
      <w:r w:rsidRPr="004A4742">
        <w:rPr>
          <w:color w:val="26282A"/>
          <w:szCs w:val="24"/>
          <w:lang w:eastAsia="es-AR"/>
        </w:rPr>
        <w:t xml:space="preserve">26.061 </w:t>
      </w:r>
      <w:r>
        <w:rPr>
          <w:color w:val="26282A"/>
          <w:szCs w:val="24"/>
          <w:lang w:eastAsia="es-AR"/>
        </w:rPr>
        <w:t>establece en el artículo 70 la transferencia de los servicios de atención directa y sus recursos a las jurisdicciones donde se hallaban los mismos. La mayoría de los recursos del organismo nacional se encontraban con sede en la Ciudad de Buenos Aires, de modo que la Ciudad tuvo un beneficio extraordinario respecto de otras jurisdicciones, al ser beneficiaria depositaria de innumerables programas, recursos presupuestarios y bienes con cargos afectados a la infancia.</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 xml:space="preserve">A su vez, la ley nacional, </w:t>
      </w:r>
      <w:r w:rsidRPr="004A4742">
        <w:rPr>
          <w:color w:val="26282A"/>
          <w:szCs w:val="24"/>
          <w:lang w:eastAsia="es-AR"/>
        </w:rPr>
        <w:t xml:space="preserve">establece en su </w:t>
      </w:r>
      <w:r>
        <w:rPr>
          <w:color w:val="26282A"/>
          <w:szCs w:val="24"/>
          <w:lang w:eastAsia="es-AR"/>
        </w:rPr>
        <w:t>A</w:t>
      </w:r>
      <w:r w:rsidRPr="004A4742">
        <w:rPr>
          <w:color w:val="26282A"/>
          <w:szCs w:val="24"/>
          <w:lang w:eastAsia="es-AR"/>
        </w:rPr>
        <w:t>rtículo 72</w:t>
      </w:r>
      <w:r>
        <w:rPr>
          <w:color w:val="26282A"/>
          <w:szCs w:val="24"/>
          <w:lang w:eastAsia="es-AR"/>
        </w:rPr>
        <w:t>°</w:t>
      </w:r>
      <w:r w:rsidRPr="004A4742">
        <w:rPr>
          <w:color w:val="26282A"/>
          <w:szCs w:val="24"/>
          <w:lang w:eastAsia="es-AR"/>
        </w:rPr>
        <w:t xml:space="preserve"> la intangibilidad de los fondos de infancia.</w:t>
      </w:r>
      <w:r>
        <w:rPr>
          <w:color w:val="26282A"/>
          <w:szCs w:val="24"/>
          <w:lang w:eastAsia="es-AR"/>
        </w:rPr>
        <w:t xml:space="preserve"> Cabe mencionar que la  ley opera como piso en todo el territorio nacional, pero en la ciudad </w:t>
      </w:r>
      <w:r w:rsidRPr="004A4742">
        <w:rPr>
          <w:color w:val="26282A"/>
          <w:szCs w:val="24"/>
          <w:lang w:eastAsia="es-AR"/>
        </w:rPr>
        <w:t>la</w:t>
      </w:r>
      <w:r>
        <w:rPr>
          <w:color w:val="26282A"/>
          <w:szCs w:val="24"/>
          <w:lang w:eastAsia="es-AR"/>
        </w:rPr>
        <w:t xml:space="preserve"> implementación de la ley tuvo mayores consecuencias. Es por ello que la ciudad tiene una doble obligación de preservar el criterio de intangibilidad que declara la </w:t>
      </w:r>
      <w:r>
        <w:rPr>
          <w:color w:val="26282A"/>
          <w:szCs w:val="24"/>
          <w:lang w:eastAsia="es-AR"/>
        </w:rPr>
        <w:lastRenderedPageBreak/>
        <w:t xml:space="preserve">ley nacional. En ese sentido, el presente proyecto de ley pretende adherir a lo dispuesto en el artículo 72 de la ley nacional con el objeto de que todos los fondos actuales que dispone la ciudad, los recibidos o los que en un futuro se integren deban ser intangibles en resguardo del presupuesto en favor de la infancia. </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A lo expuesto, y no menos importante, se debe considerar los criterios y fundamentos teóricos de todas las normas que regulan los derechos humanos, como es el caso de las leyes de infancia, que se sustentan en dichos principios que deben respetarse. Siendo uno de ellos, el principio de no regresividad , establecido en el artículo 26 de la Convención Americana sobre Derechos Humanos, que en este caso es aplicable para resguardar y fortalecer el conjunto de los recursos destinados a las políticas de infancia</w:t>
      </w:r>
    </w:p>
    <w:p w:rsidR="00E31362" w:rsidRDefault="00E31362" w:rsidP="00E31362">
      <w:pPr>
        <w:shd w:val="clear" w:color="auto" w:fill="FFFFFF"/>
        <w:rPr>
          <w:color w:val="26282A"/>
          <w:szCs w:val="24"/>
          <w:lang w:eastAsia="es-AR"/>
        </w:rPr>
      </w:pPr>
    </w:p>
    <w:p w:rsidR="00E31362" w:rsidRDefault="00E31362" w:rsidP="00E31362">
      <w:pPr>
        <w:shd w:val="clear" w:color="auto" w:fill="FFFFFF"/>
        <w:rPr>
          <w:color w:val="26282A"/>
          <w:szCs w:val="24"/>
          <w:lang w:eastAsia="es-AR"/>
        </w:rPr>
      </w:pPr>
      <w:r>
        <w:rPr>
          <w:color w:val="26282A"/>
          <w:szCs w:val="24"/>
          <w:lang w:eastAsia="es-AR"/>
        </w:rPr>
        <w:t>Por último, es importante reflexionar sobre la preocupación de los índices actuales de pobreza e indigencia, que afecta e impacta especialmente a los niños, niñas y adolescentes. Si bien, este proyecto apunta a reforzar la prioridad que marca la Convención Sobre los Derechos del Niño en las políticas destinadas a la infancia para hacer efectivos sus derechos, mejora e impacta en las situaciones críticas coyunturales de pobreza como efecto de las crisis recurrentes a las que también están expuestos los  niños como ciudadanos que viven el presente y sus familias. Sin lugar a duda es el estado, en dichas situaciones, el que debe establecer los mecanismos necesarios para que los derechos sean efectivos y exigibles con el objeto de que el colectivo de la niñez logre alcanzar los mejores estándares de una vida digna</w:t>
      </w:r>
    </w:p>
    <w:p w:rsidR="00E31362" w:rsidRDefault="00E31362" w:rsidP="00E31362">
      <w:pPr>
        <w:shd w:val="clear" w:color="auto" w:fill="FFFFFF"/>
        <w:rPr>
          <w:color w:val="26282A"/>
          <w:szCs w:val="24"/>
          <w:lang w:eastAsia="es-AR"/>
        </w:rPr>
      </w:pPr>
    </w:p>
    <w:p w:rsidR="005E3C49" w:rsidRPr="00E5658D" w:rsidRDefault="00E31362" w:rsidP="00E31362">
      <w:r>
        <w:rPr>
          <w:color w:val="26282A"/>
          <w:szCs w:val="24"/>
          <w:lang w:eastAsia="es-AR"/>
        </w:rPr>
        <w:t>Es por ello que se solicita la aprobación del presente Proyecto de Ley.</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A60" w:rsidRDefault="00AD2A60">
      <w:r>
        <w:separator/>
      </w:r>
    </w:p>
  </w:endnote>
  <w:endnote w:type="continuationSeparator" w:id="1">
    <w:p w:rsidR="00AD2A60" w:rsidRDefault="00AD2A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bookmarkStart w:id="2" w:name="_GoBack"/>
    <w:r w:rsidRPr="001C19C4">
      <w:rPr>
        <w:color w:val="333333"/>
        <w:sz w:val="20"/>
      </w:rPr>
      <w:t xml:space="preserve">Último cambio: </w:t>
    </w:r>
    <w:fldSimple w:instr=" SAVEDATE  \* MERGEFORMAT ">
      <w:r w:rsidR="00E31362" w:rsidRPr="00E31362">
        <w:rPr>
          <w:noProof/>
          <w:color w:val="333333"/>
          <w:sz w:val="20"/>
        </w:rPr>
        <w:t>25/02/2021 14:35:00</w:t>
      </w:r>
    </w:fldSimple>
    <w:r w:rsidRPr="001C19C4">
      <w:rPr>
        <w:color w:val="333333"/>
        <w:sz w:val="20"/>
      </w:rPr>
      <w:t xml:space="preserve">  -  Cantidad de caracteres: </w:t>
    </w:r>
    <w:fldSimple w:instr=" NUMCHARS  \* MERGEFORMAT ">
      <w:r w:rsidR="00E31362" w:rsidRPr="00E31362">
        <w:rPr>
          <w:noProof/>
          <w:color w:val="333333"/>
          <w:sz w:val="20"/>
        </w:rPr>
        <w:t>6166</w:t>
      </w:r>
    </w:fldSimple>
    <w:r w:rsidRPr="001C19C4">
      <w:rPr>
        <w:color w:val="333333"/>
        <w:sz w:val="20"/>
      </w:rPr>
      <w:t xml:space="preserve"> - Cantidad de palabras: </w:t>
    </w:r>
    <w:fldSimple w:instr=" NUMWORDS  \* MERGEFORMAT ">
      <w:r w:rsidR="00E31362" w:rsidRPr="00E31362">
        <w:rPr>
          <w:noProof/>
          <w:color w:val="333333"/>
          <w:sz w:val="20"/>
        </w:rPr>
        <w:t>1193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11734" w:rsidRPr="001C19C4">
      <w:rPr>
        <w:rStyle w:val="Nmerodepgina"/>
        <w:color w:val="333333"/>
      </w:rPr>
      <w:fldChar w:fldCharType="begin"/>
    </w:r>
    <w:r w:rsidRPr="001C19C4">
      <w:rPr>
        <w:rStyle w:val="Nmerodepgina"/>
        <w:color w:val="333333"/>
      </w:rPr>
      <w:instrText xml:space="preserve"> PAGE </w:instrText>
    </w:r>
    <w:r w:rsidR="00211734" w:rsidRPr="001C19C4">
      <w:rPr>
        <w:rStyle w:val="Nmerodepgina"/>
        <w:color w:val="333333"/>
      </w:rPr>
      <w:fldChar w:fldCharType="separate"/>
    </w:r>
    <w:r w:rsidR="00E31362">
      <w:rPr>
        <w:rStyle w:val="Nmerodepgina"/>
        <w:noProof/>
        <w:color w:val="333333"/>
      </w:rPr>
      <w:t>3</w:t>
    </w:r>
    <w:r w:rsidR="00211734" w:rsidRPr="001C19C4">
      <w:rPr>
        <w:rStyle w:val="Nmerodepgina"/>
        <w:color w:val="333333"/>
      </w:rPr>
      <w:fldChar w:fldCharType="end"/>
    </w:r>
    <w:r w:rsidRPr="001C19C4">
      <w:rPr>
        <w:rStyle w:val="Nmerodepgina"/>
        <w:color w:val="333333"/>
      </w:rPr>
      <w:t>/</w:t>
    </w:r>
    <w:fldSimple w:instr=" NUMPAGES  \* MERGEFORMAT ">
      <w:r w:rsidR="00E31362" w:rsidRPr="00E31362">
        <w:rPr>
          <w:rStyle w:val="Nmerodepgina"/>
          <w:noProof/>
          <w:color w:val="333333"/>
        </w:rPr>
        <w:t>3</w:t>
      </w:r>
    </w:fldSimple>
    <w:bookmarkEnd w:id="2"/>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A60" w:rsidRDefault="00AD2A60">
      <w:r>
        <w:separator/>
      </w:r>
    </w:p>
  </w:footnote>
  <w:footnote w:type="continuationSeparator" w:id="1">
    <w:p w:rsidR="00AD2A60" w:rsidRDefault="00AD2A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1734"/>
    <w:rsid w:val="00223436"/>
    <w:rsid w:val="002327DE"/>
    <w:rsid w:val="00246DF0"/>
    <w:rsid w:val="0026220D"/>
    <w:rsid w:val="00264AFF"/>
    <w:rsid w:val="00265972"/>
    <w:rsid w:val="00275865"/>
    <w:rsid w:val="00276A7E"/>
    <w:rsid w:val="00296815"/>
    <w:rsid w:val="002971A4"/>
    <w:rsid w:val="002B47D0"/>
    <w:rsid w:val="002C768C"/>
    <w:rsid w:val="002D0037"/>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4125"/>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0E20"/>
    <w:rsid w:val="0064363E"/>
    <w:rsid w:val="006577F3"/>
    <w:rsid w:val="006811D6"/>
    <w:rsid w:val="00690392"/>
    <w:rsid w:val="00697F98"/>
    <w:rsid w:val="006C326A"/>
    <w:rsid w:val="006C40E9"/>
    <w:rsid w:val="006D3303"/>
    <w:rsid w:val="006D5CB7"/>
    <w:rsid w:val="006E3675"/>
    <w:rsid w:val="00706B8E"/>
    <w:rsid w:val="00715AF3"/>
    <w:rsid w:val="00720C1E"/>
    <w:rsid w:val="00726B5F"/>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97F80"/>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2A60"/>
    <w:rsid w:val="00AE2E8F"/>
    <w:rsid w:val="00AF5760"/>
    <w:rsid w:val="00AF6352"/>
    <w:rsid w:val="00B05649"/>
    <w:rsid w:val="00B1723C"/>
    <w:rsid w:val="00B177FE"/>
    <w:rsid w:val="00B264C1"/>
    <w:rsid w:val="00B31B65"/>
    <w:rsid w:val="00B36178"/>
    <w:rsid w:val="00B4532F"/>
    <w:rsid w:val="00B46232"/>
    <w:rsid w:val="00B83380"/>
    <w:rsid w:val="00B85EE2"/>
    <w:rsid w:val="00BF2B7B"/>
    <w:rsid w:val="00BF71C2"/>
    <w:rsid w:val="00C26F53"/>
    <w:rsid w:val="00C330CB"/>
    <w:rsid w:val="00C3675D"/>
    <w:rsid w:val="00C419C1"/>
    <w:rsid w:val="00C51E49"/>
    <w:rsid w:val="00C521F9"/>
    <w:rsid w:val="00C63351"/>
    <w:rsid w:val="00C71253"/>
    <w:rsid w:val="00C734F9"/>
    <w:rsid w:val="00C86B9B"/>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1362"/>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2CAA"/>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3C4125"/>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3C4125"/>
    <w:rPr>
      <w:b/>
      <w:bCs/>
    </w:rPr>
  </w:style>
  <w:style w:type="paragraph" w:customStyle="1" w:styleId="yiv5599215156ydp8c2d193fmsonormal">
    <w:name w:val="yiv5599215156ydp8c2d193fmsonormal"/>
    <w:basedOn w:val="Normal"/>
    <w:rsid w:val="003C4125"/>
    <w:pPr>
      <w:spacing w:before="100" w:beforeAutospacing="1" w:after="100" w:afterAutospacing="1"/>
      <w:jc w:val="left"/>
    </w:pPr>
    <w:rPr>
      <w:szCs w:val="24"/>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48367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20Barrer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8C10F2-E9A7-42E3-BF42-659E06E66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1193</Words>
  <Characters>6166</Characters>
  <Application>Microsoft Office Word</Application>
  <DocSecurity>0</DocSecurity>
  <Lines>136</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cllazaro</cp:lastModifiedBy>
  <cp:revision>2</cp:revision>
  <cp:lastPrinted>2020-02-28T17:24:00Z</cp:lastPrinted>
  <dcterms:created xsi:type="dcterms:W3CDTF">2021-02-25T17:45:00Z</dcterms:created>
  <dcterms:modified xsi:type="dcterms:W3CDTF">2021-02-25T17:45:00Z</dcterms:modified>
</cp:coreProperties>
</file>