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2C5" w:rsidRDefault="00DB32C5" w:rsidP="00DB32C5">
      <w:pPr>
        <w:spacing w:before="240" w:after="24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PROYECTO DE LEY</w:t>
      </w:r>
    </w:p>
    <w:p w:rsidR="00DB32C5" w:rsidRDefault="00DB32C5" w:rsidP="00DB32C5">
      <w:pPr>
        <w:spacing w:before="240" w:after="24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 xml:space="preserve">Promoción de la equidad de género en carreras vinculadas a tecnología. </w:t>
      </w:r>
    </w:p>
    <w:p w:rsidR="00DB32C5" w:rsidRDefault="00DB32C5" w:rsidP="00DB32C5">
      <w:pPr>
        <w:spacing w:before="240" w:after="240"/>
        <w:rPr>
          <w:rFonts w:ascii="Times New Roman" w:eastAsia="Times New Roman" w:hAnsi="Times New Roman" w:cs="Times New Roman"/>
          <w:b/>
          <w:shd w:val="clear" w:color="auto" w:fill="D9EAD3"/>
        </w:rPr>
      </w:pPr>
    </w:p>
    <w:p w:rsidR="00DB32C5" w:rsidRDefault="00DB32C5" w:rsidP="00DB32C5">
      <w:pPr>
        <w:spacing w:before="240" w:after="240"/>
        <w:jc w:val="both"/>
        <w:rPr>
          <w:rFonts w:ascii="Times New Roman" w:eastAsia="Times New Roman" w:hAnsi="Times New Roman" w:cs="Times New Roman"/>
        </w:rPr>
      </w:pPr>
      <w:r>
        <w:rPr>
          <w:rFonts w:ascii="Times New Roman" w:eastAsia="Times New Roman" w:hAnsi="Times New Roman" w:cs="Times New Roman"/>
          <w:b/>
          <w:highlight w:val="white"/>
        </w:rPr>
        <w:t xml:space="preserve">Artículo 1°. Objeto. </w:t>
      </w:r>
      <w:r>
        <w:rPr>
          <w:rFonts w:ascii="Times New Roman" w:eastAsia="Times New Roman" w:hAnsi="Times New Roman" w:cs="Times New Roman"/>
          <w:highlight w:val="white"/>
        </w:rPr>
        <w:t>La presente ley tiene por objeto la inserción educativa</w:t>
      </w:r>
      <w:r>
        <w:rPr>
          <w:rFonts w:ascii="Times New Roman" w:eastAsia="Times New Roman" w:hAnsi="Times New Roman" w:cs="Times New Roman"/>
          <w:color w:val="111111"/>
          <w:highlight w:val="white"/>
        </w:rPr>
        <w:t xml:space="preserve"> en ámbitos de tecnología, </w:t>
      </w:r>
      <w:r>
        <w:rPr>
          <w:rFonts w:ascii="Times New Roman" w:eastAsia="Times New Roman" w:hAnsi="Times New Roman" w:cs="Times New Roman"/>
          <w:highlight w:val="white"/>
        </w:rPr>
        <w:t>de mujeres, personas no binarias, travestis, transexuales y transgénero.</w:t>
      </w:r>
    </w:p>
    <w:p w:rsidR="00DB32C5" w:rsidRDefault="00DB32C5" w:rsidP="00DB32C5">
      <w:pPr>
        <w:spacing w:before="240" w:after="240"/>
        <w:rPr>
          <w:rFonts w:ascii="Times New Roman" w:eastAsia="Times New Roman" w:hAnsi="Times New Roman" w:cs="Times New Roman"/>
        </w:rPr>
      </w:pPr>
      <w:r>
        <w:rPr>
          <w:rFonts w:ascii="Times New Roman" w:eastAsia="Times New Roman" w:hAnsi="Times New Roman" w:cs="Times New Roman"/>
          <w:b/>
        </w:rPr>
        <w:t>Artículo 2°.- Finalidad.</w:t>
      </w:r>
      <w:r>
        <w:rPr>
          <w:rFonts w:ascii="Times New Roman" w:eastAsia="Times New Roman" w:hAnsi="Times New Roman" w:cs="Times New Roman"/>
        </w:rPr>
        <w:t xml:space="preserve"> La presente ley tiene por finalidad:</w:t>
      </w:r>
    </w:p>
    <w:p w:rsidR="00DB32C5" w:rsidRDefault="00DB32C5" w:rsidP="00DB32C5">
      <w:pPr>
        <w:numPr>
          <w:ilvl w:val="0"/>
          <w:numId w:val="16"/>
        </w:numPr>
        <w:spacing w:before="240" w:line="276" w:lineRule="auto"/>
        <w:jc w:val="both"/>
        <w:rPr>
          <w:rFonts w:ascii="Times New Roman" w:eastAsia="Times New Roman" w:hAnsi="Times New Roman" w:cs="Times New Roman"/>
        </w:rPr>
      </w:pPr>
      <w:r>
        <w:rPr>
          <w:rFonts w:ascii="Times New Roman" w:eastAsia="Times New Roman" w:hAnsi="Times New Roman" w:cs="Times New Roman"/>
        </w:rPr>
        <w:t>Promover el acceso de mujeres, personas no binarias, travestis, transexuales y transgénero a carreras de formación técnica;</w:t>
      </w:r>
    </w:p>
    <w:p w:rsidR="00DB32C5" w:rsidRDefault="00DB32C5" w:rsidP="00DB32C5">
      <w:pPr>
        <w:numPr>
          <w:ilvl w:val="0"/>
          <w:numId w:val="16"/>
        </w:numPr>
        <w:spacing w:line="276" w:lineRule="auto"/>
        <w:jc w:val="both"/>
        <w:rPr>
          <w:rFonts w:ascii="Times New Roman" w:eastAsia="Times New Roman" w:hAnsi="Times New Roman" w:cs="Times New Roman"/>
        </w:rPr>
      </w:pPr>
      <w:r>
        <w:rPr>
          <w:rFonts w:ascii="Times New Roman" w:eastAsia="Times New Roman" w:hAnsi="Times New Roman" w:cs="Times New Roman"/>
        </w:rPr>
        <w:t>Contribuir a reducir la brecha de género en tecnología;</w:t>
      </w:r>
    </w:p>
    <w:p w:rsidR="00DB32C5" w:rsidRDefault="00DB32C5" w:rsidP="00DB32C5">
      <w:pPr>
        <w:numPr>
          <w:ilvl w:val="0"/>
          <w:numId w:val="16"/>
        </w:numPr>
        <w:spacing w:after="240" w:line="276" w:lineRule="auto"/>
        <w:rPr>
          <w:rFonts w:ascii="Times New Roman" w:eastAsia="Times New Roman" w:hAnsi="Times New Roman" w:cs="Times New Roman"/>
        </w:rPr>
      </w:pPr>
      <w:r>
        <w:rPr>
          <w:rFonts w:ascii="Times New Roman" w:eastAsia="Times New Roman" w:hAnsi="Times New Roman" w:cs="Times New Roman"/>
        </w:rPr>
        <w:t>Favorecer el ingreso, la permanencia y el  egreso de mujeres, personas no binarias, travestis, transexuales y transgénero en carreras técnicas vinculadas a la tecnología en la Ciudad Autónoma de Buenos Aires;</w:t>
      </w:r>
    </w:p>
    <w:p w:rsidR="00DB32C5" w:rsidRDefault="00DB32C5" w:rsidP="00DB32C5">
      <w:pPr>
        <w:spacing w:before="240" w:after="240"/>
        <w:jc w:val="both"/>
        <w:rPr>
          <w:rFonts w:ascii="Times New Roman" w:eastAsia="Times New Roman" w:hAnsi="Times New Roman" w:cs="Times New Roman"/>
          <w:highlight w:val="yellow"/>
        </w:rPr>
      </w:pPr>
      <w:r>
        <w:rPr>
          <w:rFonts w:ascii="Times New Roman" w:eastAsia="Times New Roman" w:hAnsi="Times New Roman" w:cs="Times New Roman"/>
          <w:b/>
        </w:rPr>
        <w:t xml:space="preserve">Artículo 3°.- Creación. </w:t>
      </w:r>
      <w:r>
        <w:rPr>
          <w:rFonts w:ascii="Times New Roman" w:eastAsia="Times New Roman" w:hAnsi="Times New Roman" w:cs="Times New Roman"/>
        </w:rPr>
        <w:t>Créase el Régimen de Becas destinado a estudiantes mujeres, personas no binarias, travestis, transexuales y transgénero  de las carreras de tecnología de los Institutos de Formación Técnica Superior dependientes del Ministerio de Educación de la Ciudad Autónoma de Buenos Aires.</w:t>
      </w:r>
    </w:p>
    <w:p w:rsidR="00DB32C5" w:rsidRDefault="00DB32C5" w:rsidP="00DB32C5">
      <w:pPr>
        <w:spacing w:before="240" w:after="240"/>
        <w:jc w:val="both"/>
        <w:rPr>
          <w:rFonts w:ascii="Times New Roman" w:eastAsia="Times New Roman" w:hAnsi="Times New Roman" w:cs="Times New Roman"/>
        </w:rPr>
      </w:pPr>
      <w:r>
        <w:rPr>
          <w:rFonts w:ascii="Times New Roman" w:eastAsia="Times New Roman" w:hAnsi="Times New Roman" w:cs="Times New Roman"/>
          <w:b/>
        </w:rPr>
        <w:t xml:space="preserve">Artículo 4°.- Destinatarios. </w:t>
      </w:r>
      <w:r>
        <w:rPr>
          <w:rFonts w:ascii="Times New Roman" w:eastAsia="Times New Roman" w:hAnsi="Times New Roman" w:cs="Times New Roman"/>
        </w:rPr>
        <w:t>Serán destinatarias/os del Programa de Becas las estudiantes mujeres, personas no binarias, travestis, transexuales y transgénero de carreras de formación técnica de los Institutos Superiores de Formación Técnica de gestión estatal, dependientes del Ministerio de Educación de la Ciudad Autónoma de Buenos Aires.</w:t>
      </w:r>
      <w:r>
        <w:rPr>
          <w:rFonts w:ascii="Times New Roman" w:eastAsia="Times New Roman" w:hAnsi="Times New Roman" w:cs="Times New Roman"/>
        </w:rPr>
        <w:br/>
      </w:r>
      <w:r>
        <w:rPr>
          <w:rFonts w:ascii="Times New Roman" w:eastAsia="Times New Roman" w:hAnsi="Times New Roman" w:cs="Times New Roman"/>
        </w:rPr>
        <w:br/>
        <w:t xml:space="preserve">A fines explicativos, se entiende como mujeres, personas no binarias, travestis, transexuales y transgénero a todas aquellas personas que desde la concepción de su propia identidad, se autoperciban como tales. </w:t>
      </w:r>
    </w:p>
    <w:p w:rsidR="00DB32C5" w:rsidRDefault="00DB32C5" w:rsidP="00DB32C5">
      <w:pPr>
        <w:spacing w:before="240" w:after="240"/>
        <w:jc w:val="both"/>
        <w:rPr>
          <w:rFonts w:ascii="Times New Roman" w:eastAsia="Times New Roman" w:hAnsi="Times New Roman" w:cs="Times New Roman"/>
        </w:rPr>
      </w:pPr>
      <w:r>
        <w:rPr>
          <w:rFonts w:ascii="Times New Roman" w:eastAsia="Times New Roman" w:hAnsi="Times New Roman" w:cs="Times New Roman"/>
        </w:rPr>
        <w:t>No es exigible para el acceso a la beca más prueba que la manifestación del género autopercibido en los términos de la Ley N°26.743, a través de declaración jurada simple. En caso de haber iniciado la solicitud de rectificación registral del sexo al momento del acceso a la beca, la persona podrá presentar constancia de inicio de trámite a los fines de la inscripción del nombre escogido en la inscripción la carrera seleccionada.</w:t>
      </w:r>
    </w:p>
    <w:p w:rsidR="00DB32C5" w:rsidRDefault="00DB32C5" w:rsidP="00DB32C5">
      <w:pPr>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b/>
        </w:rPr>
        <w:t xml:space="preserve">Artículo 5°.- Características. </w:t>
      </w:r>
      <w:r>
        <w:rPr>
          <w:rFonts w:ascii="Times New Roman" w:eastAsia="Times New Roman" w:hAnsi="Times New Roman" w:cs="Times New Roman"/>
          <w:highlight w:val="white"/>
        </w:rPr>
        <w:t>Las becas se otorgan por cada ciclo lectivo y constituyen un beneficio personal e intransferible de cada estudiante. Son renovables anualmente mediante la presentación de la documentación que acredite fehacientemente el cumplimiento con los criterios de otorgamiento.</w:t>
      </w:r>
    </w:p>
    <w:p w:rsidR="00DB32C5" w:rsidRDefault="00DB32C5" w:rsidP="00DB32C5">
      <w:pPr>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b/>
        </w:rPr>
        <w:t xml:space="preserve">Artículo 6°.- Monto. </w:t>
      </w:r>
      <w:r>
        <w:rPr>
          <w:rFonts w:ascii="Times New Roman" w:eastAsia="Times New Roman" w:hAnsi="Times New Roman" w:cs="Times New Roman"/>
          <w:highlight w:val="white"/>
        </w:rPr>
        <w:t xml:space="preserve">El monto de la beca asciende a una suma de dinero que inicialmente resulte, como mínimo, equivalente </w:t>
      </w:r>
      <w:r>
        <w:rPr>
          <w:rFonts w:ascii="Times New Roman" w:eastAsia="Times New Roman" w:hAnsi="Times New Roman" w:cs="Times New Roman"/>
        </w:rPr>
        <w:t xml:space="preserve">a un Salario Mínimo, </w:t>
      </w:r>
      <w:r>
        <w:rPr>
          <w:rFonts w:ascii="Times New Roman" w:eastAsia="Times New Roman" w:hAnsi="Times New Roman" w:cs="Times New Roman"/>
          <w:highlight w:val="white"/>
        </w:rPr>
        <w:t xml:space="preserve">Vital y Móvil, que se pagará en forma mensual a partir de la inscripción  a la beca, durante doce (12) meses, </w:t>
      </w:r>
      <w:bookmarkStart w:id="0" w:name="_GoBack"/>
      <w:r>
        <w:rPr>
          <w:rFonts w:ascii="Times New Roman" w:eastAsia="Times New Roman" w:hAnsi="Times New Roman" w:cs="Times New Roman"/>
          <w:highlight w:val="white"/>
        </w:rPr>
        <w:t>pudiendo ser renovada anualmente hasta el egreso.</w:t>
      </w:r>
    </w:p>
    <w:bookmarkEnd w:id="0"/>
    <w:p w:rsidR="00DB32C5" w:rsidRDefault="00DB32C5" w:rsidP="00DB32C5">
      <w:pPr>
        <w:spacing w:before="240" w:after="240"/>
        <w:jc w:val="both"/>
        <w:rPr>
          <w:rFonts w:ascii="Times New Roman" w:eastAsia="Times New Roman" w:hAnsi="Times New Roman" w:cs="Times New Roman"/>
          <w:highlight w:val="yellow"/>
        </w:rPr>
      </w:pPr>
      <w:r>
        <w:rPr>
          <w:rFonts w:ascii="Times New Roman" w:eastAsia="Times New Roman" w:hAnsi="Times New Roman" w:cs="Times New Roman"/>
          <w:b/>
          <w:highlight w:val="white"/>
        </w:rPr>
        <w:t xml:space="preserve">Artículo </w:t>
      </w:r>
      <w:r>
        <w:rPr>
          <w:rFonts w:ascii="Times New Roman" w:eastAsia="Times New Roman" w:hAnsi="Times New Roman" w:cs="Times New Roman"/>
          <w:b/>
        </w:rPr>
        <w:t xml:space="preserve">7°.- Egreso. </w:t>
      </w:r>
      <w:r>
        <w:rPr>
          <w:rFonts w:ascii="Times New Roman" w:eastAsia="Times New Roman" w:hAnsi="Times New Roman" w:cs="Times New Roman"/>
        </w:rPr>
        <w:t>Las personas que egresen y hayan percibido la beca recibirán un reconocimiento monetario, por única vez, correspondiente a dos (2) Salarios Mínimos, Vitales y Móviles con el último abono de la beca mensual.</w:t>
      </w:r>
    </w:p>
    <w:p w:rsidR="00DB32C5" w:rsidRDefault="00DB32C5" w:rsidP="00DB32C5">
      <w:pPr>
        <w:spacing w:before="240" w:after="240"/>
        <w:jc w:val="both"/>
        <w:rPr>
          <w:rFonts w:ascii="Times New Roman" w:eastAsia="Times New Roman" w:hAnsi="Times New Roman" w:cs="Times New Roman"/>
        </w:rPr>
      </w:pPr>
      <w:r>
        <w:rPr>
          <w:rFonts w:ascii="Times New Roman" w:eastAsia="Times New Roman" w:hAnsi="Times New Roman" w:cs="Times New Roman"/>
          <w:b/>
        </w:rPr>
        <w:t xml:space="preserve">Artículo 8°.- Criterios de otorgamiento. </w:t>
      </w:r>
      <w:r>
        <w:rPr>
          <w:rFonts w:ascii="Times New Roman" w:eastAsia="Times New Roman" w:hAnsi="Times New Roman" w:cs="Times New Roman"/>
        </w:rPr>
        <w:t xml:space="preserve">Se otorgará la Beca a las estudiantes que: </w:t>
      </w:r>
    </w:p>
    <w:p w:rsidR="00DB32C5" w:rsidRDefault="00DB32C5" w:rsidP="00DB32C5">
      <w:pPr>
        <w:numPr>
          <w:ilvl w:val="0"/>
          <w:numId w:val="15"/>
        </w:numPr>
        <w:spacing w:before="240" w:line="276" w:lineRule="auto"/>
        <w:jc w:val="both"/>
        <w:rPr>
          <w:rFonts w:ascii="Times New Roman" w:eastAsia="Times New Roman" w:hAnsi="Times New Roman" w:cs="Times New Roman"/>
        </w:rPr>
      </w:pPr>
      <w:r>
        <w:rPr>
          <w:rFonts w:ascii="Times New Roman" w:eastAsia="Times New Roman" w:hAnsi="Times New Roman" w:cs="Times New Roman"/>
        </w:rPr>
        <w:lastRenderedPageBreak/>
        <w:t>Sean estudiantes mujeres, no binarixs, travestis, transexuales y transgénero.</w:t>
      </w:r>
    </w:p>
    <w:p w:rsidR="00DB32C5" w:rsidRDefault="00DB32C5" w:rsidP="00DB32C5">
      <w:pPr>
        <w:numPr>
          <w:ilvl w:val="0"/>
          <w:numId w:val="15"/>
        </w:numPr>
        <w:spacing w:line="276" w:lineRule="auto"/>
        <w:jc w:val="both"/>
        <w:rPr>
          <w:rFonts w:ascii="Times New Roman" w:eastAsia="Times New Roman" w:hAnsi="Times New Roman" w:cs="Times New Roman"/>
        </w:rPr>
      </w:pPr>
      <w:r>
        <w:rPr>
          <w:rFonts w:ascii="Times New Roman" w:eastAsia="Times New Roman" w:hAnsi="Times New Roman" w:cs="Times New Roman"/>
        </w:rPr>
        <w:t>Se encuentren inscriptas/os/es en los Institutos Superiores de Formación Técnica en las carreras de:</w:t>
      </w:r>
    </w:p>
    <w:p w:rsidR="00DB32C5" w:rsidRDefault="00DB32C5" w:rsidP="00DB32C5">
      <w:pPr>
        <w:numPr>
          <w:ilvl w:val="0"/>
          <w:numId w:val="14"/>
        </w:numPr>
        <w:spacing w:line="276" w:lineRule="auto"/>
        <w:jc w:val="both"/>
        <w:rPr>
          <w:rFonts w:ascii="Times New Roman" w:eastAsia="Times New Roman" w:hAnsi="Times New Roman" w:cs="Times New Roman"/>
        </w:rPr>
      </w:pPr>
      <w:r>
        <w:rPr>
          <w:rFonts w:ascii="Times New Roman" w:eastAsia="Times New Roman" w:hAnsi="Times New Roman" w:cs="Times New Roman"/>
        </w:rPr>
        <w:t>Análisis de sistemas;</w:t>
      </w:r>
    </w:p>
    <w:p w:rsidR="00DB32C5" w:rsidRDefault="00DB32C5" w:rsidP="00DB32C5">
      <w:pPr>
        <w:numPr>
          <w:ilvl w:val="0"/>
          <w:numId w:val="14"/>
        </w:numPr>
        <w:spacing w:line="276" w:lineRule="auto"/>
        <w:jc w:val="both"/>
        <w:rPr>
          <w:rFonts w:ascii="Times New Roman" w:eastAsia="Times New Roman" w:hAnsi="Times New Roman" w:cs="Times New Roman"/>
        </w:rPr>
      </w:pPr>
      <w:r>
        <w:rPr>
          <w:rFonts w:ascii="Times New Roman" w:eastAsia="Times New Roman" w:hAnsi="Times New Roman" w:cs="Times New Roman"/>
        </w:rPr>
        <w:t>Automatización y robótica;</w:t>
      </w:r>
    </w:p>
    <w:p w:rsidR="00DB32C5" w:rsidRDefault="00DB32C5" w:rsidP="00DB32C5">
      <w:pPr>
        <w:numPr>
          <w:ilvl w:val="0"/>
          <w:numId w:val="14"/>
        </w:numPr>
        <w:spacing w:line="276" w:lineRule="auto"/>
        <w:jc w:val="both"/>
        <w:rPr>
          <w:rFonts w:ascii="Times New Roman" w:eastAsia="Times New Roman" w:hAnsi="Times New Roman" w:cs="Times New Roman"/>
        </w:rPr>
      </w:pPr>
      <w:r>
        <w:rPr>
          <w:rFonts w:ascii="Times New Roman" w:eastAsia="Times New Roman" w:hAnsi="Times New Roman" w:cs="Times New Roman"/>
        </w:rPr>
        <w:t>Telecomunicaciones;</w:t>
      </w:r>
    </w:p>
    <w:p w:rsidR="00DB32C5" w:rsidRDefault="00DB32C5" w:rsidP="00DB32C5">
      <w:pPr>
        <w:numPr>
          <w:ilvl w:val="0"/>
          <w:numId w:val="14"/>
        </w:numPr>
        <w:spacing w:line="276" w:lineRule="auto"/>
        <w:jc w:val="both"/>
        <w:rPr>
          <w:rFonts w:ascii="Times New Roman" w:eastAsia="Times New Roman" w:hAnsi="Times New Roman" w:cs="Times New Roman"/>
        </w:rPr>
      </w:pPr>
      <w:r>
        <w:rPr>
          <w:rFonts w:ascii="Times New Roman" w:eastAsia="Times New Roman" w:hAnsi="Times New Roman" w:cs="Times New Roman"/>
        </w:rPr>
        <w:t>Teleinformática;</w:t>
      </w:r>
    </w:p>
    <w:p w:rsidR="00DB32C5" w:rsidRDefault="00DB32C5" w:rsidP="00DB32C5">
      <w:pPr>
        <w:numPr>
          <w:ilvl w:val="0"/>
          <w:numId w:val="14"/>
        </w:numPr>
        <w:spacing w:line="276" w:lineRule="auto"/>
        <w:jc w:val="both"/>
        <w:rPr>
          <w:rFonts w:ascii="Times New Roman" w:eastAsia="Times New Roman" w:hAnsi="Times New Roman" w:cs="Times New Roman"/>
        </w:rPr>
      </w:pPr>
      <w:r>
        <w:rPr>
          <w:rFonts w:ascii="Times New Roman" w:eastAsia="Times New Roman" w:hAnsi="Times New Roman" w:cs="Times New Roman"/>
        </w:rPr>
        <w:t>Facilitación tecnológica digital;</w:t>
      </w:r>
    </w:p>
    <w:p w:rsidR="00DB32C5" w:rsidRDefault="00DB32C5" w:rsidP="00DB32C5">
      <w:pPr>
        <w:numPr>
          <w:ilvl w:val="0"/>
          <w:numId w:val="14"/>
        </w:numPr>
        <w:spacing w:line="276" w:lineRule="auto"/>
        <w:jc w:val="both"/>
        <w:rPr>
          <w:rFonts w:ascii="Times New Roman" w:eastAsia="Times New Roman" w:hAnsi="Times New Roman" w:cs="Times New Roman"/>
        </w:rPr>
      </w:pPr>
      <w:r>
        <w:rPr>
          <w:rFonts w:ascii="Times New Roman" w:eastAsia="Times New Roman" w:hAnsi="Times New Roman" w:cs="Times New Roman"/>
        </w:rPr>
        <w:t>Eficiencia energética;</w:t>
      </w:r>
    </w:p>
    <w:p w:rsidR="00DB32C5" w:rsidRDefault="00DB32C5" w:rsidP="00DB32C5">
      <w:pPr>
        <w:numPr>
          <w:ilvl w:val="0"/>
          <w:numId w:val="14"/>
        </w:numPr>
        <w:spacing w:line="276" w:lineRule="auto"/>
        <w:jc w:val="both"/>
        <w:rPr>
          <w:rFonts w:ascii="Times New Roman" w:eastAsia="Times New Roman" w:hAnsi="Times New Roman" w:cs="Times New Roman"/>
        </w:rPr>
      </w:pPr>
      <w:r>
        <w:rPr>
          <w:rFonts w:ascii="Times New Roman" w:eastAsia="Times New Roman" w:hAnsi="Times New Roman" w:cs="Times New Roman"/>
        </w:rPr>
        <w:t>Distribución de la energía eléctrica;</w:t>
      </w:r>
    </w:p>
    <w:p w:rsidR="00DB32C5" w:rsidRDefault="00DB32C5" w:rsidP="00DB32C5">
      <w:pPr>
        <w:numPr>
          <w:ilvl w:val="0"/>
          <w:numId w:val="14"/>
        </w:numPr>
        <w:spacing w:line="276" w:lineRule="auto"/>
        <w:jc w:val="both"/>
        <w:rPr>
          <w:rFonts w:ascii="Times New Roman" w:eastAsia="Times New Roman" w:hAnsi="Times New Roman" w:cs="Times New Roman"/>
        </w:rPr>
      </w:pPr>
      <w:r>
        <w:rPr>
          <w:rFonts w:ascii="Times New Roman" w:eastAsia="Times New Roman" w:hAnsi="Times New Roman" w:cs="Times New Roman"/>
        </w:rPr>
        <w:t>Gestión en energías renovables;</w:t>
      </w:r>
    </w:p>
    <w:p w:rsidR="00DB32C5" w:rsidRDefault="00DB32C5" w:rsidP="00DB32C5">
      <w:pPr>
        <w:numPr>
          <w:ilvl w:val="0"/>
          <w:numId w:val="14"/>
        </w:numPr>
        <w:spacing w:line="276" w:lineRule="auto"/>
        <w:jc w:val="both"/>
        <w:rPr>
          <w:rFonts w:ascii="Times New Roman" w:eastAsia="Times New Roman" w:hAnsi="Times New Roman" w:cs="Times New Roman"/>
        </w:rPr>
      </w:pPr>
      <w:r>
        <w:rPr>
          <w:rFonts w:ascii="Times New Roman" w:eastAsia="Times New Roman" w:hAnsi="Times New Roman" w:cs="Times New Roman"/>
        </w:rPr>
        <w:t>Autotrónica;</w:t>
      </w:r>
    </w:p>
    <w:p w:rsidR="00DB32C5" w:rsidRDefault="00DB32C5" w:rsidP="00DB32C5">
      <w:pPr>
        <w:numPr>
          <w:ilvl w:val="0"/>
          <w:numId w:val="14"/>
        </w:numPr>
        <w:spacing w:line="276" w:lineRule="auto"/>
        <w:rPr>
          <w:rFonts w:ascii="Times New Roman" w:eastAsia="Times New Roman" w:hAnsi="Times New Roman" w:cs="Times New Roman"/>
        </w:rPr>
      </w:pPr>
      <w:r>
        <w:rPr>
          <w:rFonts w:ascii="Times New Roman" w:eastAsia="Times New Roman" w:hAnsi="Times New Roman" w:cs="Times New Roman"/>
        </w:rPr>
        <w:t>Mantenimiento industrial del sector automotriz.</w:t>
      </w:r>
    </w:p>
    <w:p w:rsidR="00DB32C5" w:rsidRDefault="00DB32C5" w:rsidP="00DB32C5">
      <w:pPr>
        <w:numPr>
          <w:ilvl w:val="0"/>
          <w:numId w:val="14"/>
        </w:numPr>
        <w:spacing w:line="276" w:lineRule="auto"/>
        <w:rPr>
          <w:rFonts w:ascii="Times New Roman" w:eastAsia="Times New Roman" w:hAnsi="Times New Roman" w:cs="Times New Roman"/>
        </w:rPr>
      </w:pPr>
      <w:r>
        <w:rPr>
          <w:rFonts w:ascii="Times New Roman" w:eastAsia="Times New Roman" w:hAnsi="Times New Roman" w:cs="Times New Roman"/>
        </w:rPr>
        <w:t xml:space="preserve">Tecnicatura superior en desarrollo de software. </w:t>
      </w:r>
    </w:p>
    <w:p w:rsidR="00DB32C5" w:rsidRDefault="00DB32C5" w:rsidP="00DB32C5">
      <w:pPr>
        <w:numPr>
          <w:ilvl w:val="0"/>
          <w:numId w:val="15"/>
        </w:numPr>
        <w:spacing w:line="276" w:lineRule="auto"/>
        <w:jc w:val="both"/>
        <w:rPr>
          <w:rFonts w:ascii="Times New Roman" w:eastAsia="Times New Roman" w:hAnsi="Times New Roman" w:cs="Times New Roman"/>
        </w:rPr>
      </w:pPr>
      <w:r>
        <w:rPr>
          <w:rFonts w:ascii="Times New Roman" w:eastAsia="Times New Roman" w:hAnsi="Times New Roman" w:cs="Times New Roman"/>
        </w:rPr>
        <w:t xml:space="preserve">Se encuentren en condición de regularidad en dicha carrera de acuerdo a la normativa y los criterios establecidos por la institución en la que estudian; </w:t>
      </w:r>
    </w:p>
    <w:p w:rsidR="00DB32C5" w:rsidRDefault="00DB32C5" w:rsidP="00DB32C5">
      <w:pPr>
        <w:numPr>
          <w:ilvl w:val="0"/>
          <w:numId w:val="15"/>
        </w:numPr>
        <w:spacing w:line="276" w:lineRule="auto"/>
        <w:jc w:val="both"/>
        <w:rPr>
          <w:rFonts w:ascii="Times New Roman" w:eastAsia="Times New Roman" w:hAnsi="Times New Roman" w:cs="Times New Roman"/>
        </w:rPr>
      </w:pPr>
      <w:r>
        <w:rPr>
          <w:rFonts w:ascii="Times New Roman" w:eastAsia="Times New Roman" w:hAnsi="Times New Roman" w:cs="Times New Roman"/>
        </w:rPr>
        <w:t>No percibir ingresos o tener ingresos  inferiores a dos (2) Salarios Mínimo, Vital y Móvil</w:t>
      </w:r>
    </w:p>
    <w:p w:rsidR="00DB32C5" w:rsidRDefault="00DB32C5" w:rsidP="00DB32C5">
      <w:pPr>
        <w:numPr>
          <w:ilvl w:val="0"/>
          <w:numId w:val="15"/>
        </w:numPr>
        <w:spacing w:after="240" w:line="276" w:lineRule="auto"/>
        <w:jc w:val="both"/>
        <w:rPr>
          <w:rFonts w:ascii="Times New Roman" w:eastAsia="Times New Roman" w:hAnsi="Times New Roman" w:cs="Times New Roman"/>
        </w:rPr>
      </w:pPr>
      <w:r>
        <w:rPr>
          <w:rFonts w:ascii="Times New Roman" w:eastAsia="Times New Roman" w:hAnsi="Times New Roman" w:cs="Times New Roman"/>
        </w:rPr>
        <w:t xml:space="preserve">Quienes no sean ingresantes deberán tener aprobadas cinco (5) materias del ciclo lectivo anterior.  </w:t>
      </w:r>
    </w:p>
    <w:p w:rsidR="00DB32C5" w:rsidRDefault="00DB32C5" w:rsidP="00DB32C5">
      <w:pPr>
        <w:spacing w:before="240" w:after="240"/>
        <w:jc w:val="both"/>
        <w:rPr>
          <w:rFonts w:ascii="Times New Roman" w:eastAsia="Times New Roman" w:hAnsi="Times New Roman" w:cs="Times New Roman"/>
          <w:b/>
        </w:rPr>
      </w:pPr>
      <w:r>
        <w:rPr>
          <w:rFonts w:ascii="Times New Roman" w:eastAsia="Times New Roman" w:hAnsi="Times New Roman" w:cs="Times New Roman"/>
          <w:b/>
        </w:rPr>
        <w:t>Artículo 9°.-</w:t>
      </w:r>
      <w:r>
        <w:rPr>
          <w:rFonts w:ascii="Times New Roman" w:eastAsia="Times New Roman" w:hAnsi="Times New Roman" w:cs="Times New Roman"/>
        </w:rPr>
        <w:t xml:space="preserve"> </w:t>
      </w:r>
      <w:r>
        <w:rPr>
          <w:rFonts w:ascii="Times New Roman" w:eastAsia="Times New Roman" w:hAnsi="Times New Roman" w:cs="Times New Roman"/>
          <w:b/>
        </w:rPr>
        <w:t>Aspirante menor de 18 años.</w:t>
      </w:r>
      <w:r>
        <w:rPr>
          <w:rFonts w:ascii="Times New Roman" w:eastAsia="Times New Roman" w:hAnsi="Times New Roman" w:cs="Times New Roman"/>
        </w:rPr>
        <w:t xml:space="preserve"> En caso que la aspirante a la beca sea menor de dieciocho (18) años de edad, la solicitud deberá ser firmada por una persona adulta responsable que la estudiante defina.</w:t>
      </w:r>
    </w:p>
    <w:p w:rsidR="00DB32C5" w:rsidRDefault="00DB32C5" w:rsidP="00DB32C5">
      <w:pPr>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b/>
        </w:rPr>
        <w:t xml:space="preserve">Artículo 10.- Inscripción. </w:t>
      </w:r>
      <w:r>
        <w:rPr>
          <w:rFonts w:ascii="Times New Roman" w:eastAsia="Times New Roman" w:hAnsi="Times New Roman" w:cs="Times New Roman"/>
          <w:highlight w:val="white"/>
        </w:rPr>
        <w:t>La inscripción se realizará dentro del período establecido entre los primeros treinta (30) días del inicio de cada cuatrimestre. Sin perjuicio de ello, la autoridad de aplicación podrá recibir solicitudes de beca fuera del período ordinario.</w:t>
      </w:r>
    </w:p>
    <w:p w:rsidR="00DB32C5" w:rsidRDefault="00DB32C5" w:rsidP="00DB32C5">
      <w:pPr>
        <w:spacing w:before="240" w:after="240"/>
        <w:jc w:val="both"/>
        <w:rPr>
          <w:rFonts w:ascii="Times New Roman" w:eastAsia="Times New Roman" w:hAnsi="Times New Roman" w:cs="Times New Roman"/>
          <w:b/>
        </w:rPr>
      </w:pPr>
      <w:r>
        <w:rPr>
          <w:rFonts w:ascii="Times New Roman" w:eastAsia="Times New Roman" w:hAnsi="Times New Roman" w:cs="Times New Roman"/>
          <w:b/>
        </w:rPr>
        <w:t>Artículo 11.- Su</w:t>
      </w:r>
      <w:r>
        <w:rPr>
          <w:rFonts w:ascii="Times New Roman" w:eastAsia="Times New Roman" w:hAnsi="Times New Roman" w:cs="Times New Roman"/>
          <w:b/>
          <w:highlight w:val="white"/>
        </w:rPr>
        <w:t>perposición de Beneficios.</w:t>
      </w:r>
      <w:r>
        <w:rPr>
          <w:rFonts w:ascii="Times New Roman" w:eastAsia="Times New Roman" w:hAnsi="Times New Roman" w:cs="Times New Roman"/>
          <w:highlight w:val="white"/>
        </w:rPr>
        <w:t xml:space="preserve"> Aquel estudiante que sea titular de otra beca estudiantil sólo podrá obtener el beneficio de la Beca creada por la presente Ley, cuando el monto de esa beca sea inferior al dispuesto por el artículo 5°. En tal caso, el beneficio a otorgar compensará la suma de dinero necesaria para alcanzar dicho monto.</w:t>
      </w:r>
    </w:p>
    <w:p w:rsidR="00DB32C5" w:rsidRDefault="00DB32C5" w:rsidP="00DB32C5">
      <w:pPr>
        <w:spacing w:before="240" w:after="240"/>
        <w:jc w:val="both"/>
        <w:rPr>
          <w:rFonts w:ascii="Times New Roman" w:eastAsia="Times New Roman" w:hAnsi="Times New Roman" w:cs="Times New Roman"/>
          <w:b/>
        </w:rPr>
      </w:pPr>
      <w:r>
        <w:rPr>
          <w:rFonts w:ascii="Times New Roman" w:eastAsia="Times New Roman" w:hAnsi="Times New Roman" w:cs="Times New Roman"/>
          <w:b/>
        </w:rPr>
        <w:t xml:space="preserve">Artículo 12.- </w:t>
      </w:r>
      <w:r>
        <w:rPr>
          <w:rFonts w:ascii="Times New Roman" w:eastAsia="Times New Roman" w:hAnsi="Times New Roman" w:cs="Times New Roman"/>
          <w:b/>
          <w:highlight w:val="white"/>
        </w:rPr>
        <w:t xml:space="preserve">Ingresantes. </w:t>
      </w:r>
      <w:r>
        <w:rPr>
          <w:rFonts w:ascii="Times New Roman" w:eastAsia="Times New Roman" w:hAnsi="Times New Roman" w:cs="Times New Roman"/>
          <w:highlight w:val="white"/>
        </w:rPr>
        <w:t xml:space="preserve">Los estudiantes ingresantes podrán solicitar la beca en el momento de la inscripción a las materias. Se cobrará el ochenta por ciento (80%) del beneficio mensual y el veinte por ciento (20%) restante una vez que apruebe al menos dos (2) materias del cuatrimestre inicial. </w:t>
      </w:r>
    </w:p>
    <w:p w:rsidR="00DB32C5" w:rsidRDefault="00DB32C5" w:rsidP="00DB32C5">
      <w:pPr>
        <w:spacing w:before="240" w:after="240"/>
        <w:jc w:val="both"/>
        <w:rPr>
          <w:rFonts w:ascii="Times New Roman" w:eastAsia="Times New Roman" w:hAnsi="Times New Roman" w:cs="Times New Roman"/>
        </w:rPr>
      </w:pPr>
      <w:r>
        <w:rPr>
          <w:rFonts w:ascii="Times New Roman" w:eastAsia="Times New Roman" w:hAnsi="Times New Roman" w:cs="Times New Roman"/>
          <w:b/>
        </w:rPr>
        <w:t xml:space="preserve">Artículo 13.- </w:t>
      </w:r>
      <w:r>
        <w:rPr>
          <w:rFonts w:ascii="Times New Roman" w:eastAsia="Times New Roman" w:hAnsi="Times New Roman" w:cs="Times New Roman"/>
          <w:b/>
          <w:highlight w:val="white"/>
        </w:rPr>
        <w:t>Obligación de informar.</w:t>
      </w:r>
      <w:r>
        <w:rPr>
          <w:rFonts w:ascii="Times New Roman" w:eastAsia="Times New Roman" w:hAnsi="Times New Roman" w:cs="Times New Roman"/>
        </w:rPr>
        <w:t xml:space="preserve"> Los Institutos de Formación Técnica Superior deberán brindar información acerca del derecho a inscribirse a la Beca Estudiantil para la Formación en Tecnología a todas las/os/es estudiantes al momento de la inscripción a materias.</w:t>
      </w:r>
    </w:p>
    <w:p w:rsidR="00DB32C5" w:rsidRDefault="00DB32C5" w:rsidP="00DB32C5">
      <w:pPr>
        <w:spacing w:before="240" w:after="240"/>
        <w:jc w:val="both"/>
        <w:rPr>
          <w:rFonts w:ascii="Times New Roman" w:eastAsia="Times New Roman" w:hAnsi="Times New Roman" w:cs="Times New Roman"/>
        </w:rPr>
      </w:pPr>
      <w:r>
        <w:rPr>
          <w:rFonts w:ascii="Times New Roman" w:eastAsia="Times New Roman" w:hAnsi="Times New Roman" w:cs="Times New Roman"/>
        </w:rPr>
        <w:t>El Ministerio de Educación deberá brindar información y publicitar  la inscripción a las carreras de formación en tecnología para  mujeres, personas no binarias, travestis, transexuales y transgénero así como la posibilidad de inscribirse al régimen de becas que crea la presente ley.</w:t>
      </w:r>
    </w:p>
    <w:p w:rsidR="00DB32C5" w:rsidRDefault="00DB32C5" w:rsidP="00DB32C5">
      <w:pPr>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b/>
        </w:rPr>
        <w:t xml:space="preserve">Artículo 14.- </w:t>
      </w:r>
      <w:r>
        <w:rPr>
          <w:rFonts w:ascii="Times New Roman" w:eastAsia="Times New Roman" w:hAnsi="Times New Roman" w:cs="Times New Roman"/>
          <w:b/>
          <w:highlight w:val="white"/>
        </w:rPr>
        <w:t>Capacitación y asesoramiento.</w:t>
      </w:r>
      <w:r>
        <w:rPr>
          <w:rFonts w:ascii="Times New Roman" w:eastAsia="Times New Roman" w:hAnsi="Times New Roman" w:cs="Times New Roman"/>
          <w:highlight w:val="white"/>
        </w:rPr>
        <w:t xml:space="preserve"> El Ministerio de Educación garantizará la capacitación a las autoridades y al personal administrativo de </w:t>
      </w:r>
      <w:r>
        <w:rPr>
          <w:rFonts w:ascii="Times New Roman" w:eastAsia="Times New Roman" w:hAnsi="Times New Roman" w:cs="Times New Roman"/>
        </w:rPr>
        <w:t xml:space="preserve">los Institutos de Formación Técnica Superior </w:t>
      </w:r>
      <w:r>
        <w:rPr>
          <w:rFonts w:ascii="Times New Roman" w:eastAsia="Times New Roman" w:hAnsi="Times New Roman" w:cs="Times New Roman"/>
          <w:highlight w:val="white"/>
        </w:rPr>
        <w:t>para que realicen un adecuado asesoramiento a las/os/es estudiantes a fin de que puedan inscribirse en el programa.</w:t>
      </w:r>
    </w:p>
    <w:p w:rsidR="00DB32C5" w:rsidRDefault="00DB32C5" w:rsidP="00DB32C5">
      <w:pPr>
        <w:spacing w:before="240" w:after="240"/>
        <w:jc w:val="both"/>
        <w:rPr>
          <w:rFonts w:ascii="Times New Roman" w:eastAsia="Times New Roman" w:hAnsi="Times New Roman" w:cs="Times New Roman"/>
          <w:b/>
        </w:rPr>
      </w:pPr>
      <w:r>
        <w:rPr>
          <w:rFonts w:ascii="Times New Roman" w:eastAsia="Times New Roman" w:hAnsi="Times New Roman" w:cs="Times New Roman"/>
          <w:b/>
        </w:rPr>
        <w:lastRenderedPageBreak/>
        <w:t xml:space="preserve">Artículo 15.- </w:t>
      </w:r>
      <w:r>
        <w:rPr>
          <w:rFonts w:ascii="Times New Roman" w:eastAsia="Times New Roman" w:hAnsi="Times New Roman" w:cs="Times New Roman"/>
          <w:b/>
          <w:highlight w:val="white"/>
        </w:rPr>
        <w:t>Confidencialidad</w:t>
      </w:r>
      <w:r>
        <w:rPr>
          <w:rFonts w:ascii="Times New Roman" w:eastAsia="Times New Roman" w:hAnsi="Times New Roman" w:cs="Times New Roman"/>
          <w:highlight w:val="white"/>
        </w:rPr>
        <w:t>. La autoridad de aplicación es responsable de garantizar el derecho a la intimidad de cada estudiante a la confidencialidad de los datos que se informen en virtud de la solicitud y otorgamiento de la beca.</w:t>
      </w:r>
    </w:p>
    <w:p w:rsidR="00DB32C5" w:rsidRDefault="00DB32C5" w:rsidP="00DB32C5">
      <w:pPr>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b/>
        </w:rPr>
        <w:t xml:space="preserve">Artículo 16.- </w:t>
      </w:r>
      <w:r>
        <w:rPr>
          <w:rFonts w:ascii="Times New Roman" w:eastAsia="Times New Roman" w:hAnsi="Times New Roman" w:cs="Times New Roman"/>
          <w:b/>
          <w:highlight w:val="white"/>
        </w:rPr>
        <w:t>Comunicación de la decisión y solicitud de reconsideración.</w:t>
      </w:r>
      <w:r>
        <w:rPr>
          <w:rFonts w:ascii="Times New Roman" w:eastAsia="Times New Roman" w:hAnsi="Times New Roman" w:cs="Times New Roman"/>
          <w:highlight w:val="white"/>
        </w:rPr>
        <w:t xml:space="preserve"> A partir de la notificación fehaciente, cada estudiante tiene quince (15) días hábiles para pedir una reconsideración, que se realiza en base a la información ya brindada, pudiendo la autoridad de aplicación pedir una ampliación de información, a los fines de contar con más elementos para decidir sobre el otorgamiento de la beca. Una vez que el solicitante ha entregado su pedido de reconsideración, la autoridad de aplicación tiene treinta (30) días para una nueva determinación, que debe ser notificada de manera fehaciente.</w:t>
      </w:r>
    </w:p>
    <w:p w:rsidR="00DB32C5" w:rsidRDefault="00DB32C5" w:rsidP="00DB32C5">
      <w:pPr>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b/>
        </w:rPr>
        <w:t xml:space="preserve">Artículo 17.- Pago. </w:t>
      </w:r>
      <w:r>
        <w:rPr>
          <w:rFonts w:ascii="Times New Roman" w:eastAsia="Times New Roman" w:hAnsi="Times New Roman" w:cs="Times New Roman"/>
        </w:rPr>
        <w:t xml:space="preserve">El </w:t>
      </w:r>
      <w:r>
        <w:rPr>
          <w:rFonts w:ascii="Times New Roman" w:eastAsia="Times New Roman" w:hAnsi="Times New Roman" w:cs="Times New Roman"/>
          <w:highlight w:val="white"/>
        </w:rPr>
        <w:t>pago se realizará en forma mensual durante doce (12) meses. El primer pago se efectuará como máximo entre los 30 días posteriores a la comunicación del otorgamiento de la beca. Los pagos subsiguientes se realizarán entre el 1° y 5° día hábil de cada mes.</w:t>
      </w:r>
    </w:p>
    <w:p w:rsidR="00DB32C5" w:rsidRDefault="00DB32C5" w:rsidP="00DB32C5">
      <w:pPr>
        <w:spacing w:before="40" w:after="40"/>
        <w:jc w:val="both"/>
        <w:rPr>
          <w:rFonts w:ascii="Times New Roman" w:eastAsia="Times New Roman" w:hAnsi="Times New Roman" w:cs="Times New Roman"/>
        </w:rPr>
      </w:pPr>
      <w:r>
        <w:rPr>
          <w:rFonts w:ascii="Times New Roman" w:eastAsia="Times New Roman" w:hAnsi="Times New Roman" w:cs="Times New Roman"/>
          <w:b/>
        </w:rPr>
        <w:t>Artículo 18.- Causales de extinción.</w:t>
      </w:r>
      <w:r>
        <w:rPr>
          <w:rFonts w:ascii="Times New Roman" w:eastAsia="Times New Roman" w:hAnsi="Times New Roman" w:cs="Times New Roman"/>
        </w:rPr>
        <w:t xml:space="preserve"> El derecho de cada estudiante que percibe la beca se extingue por:</w:t>
      </w:r>
    </w:p>
    <w:p w:rsidR="00DB32C5" w:rsidRDefault="00DB32C5" w:rsidP="00DB32C5">
      <w:pPr>
        <w:shd w:val="clear" w:color="auto" w:fill="FFFFFF"/>
        <w:spacing w:before="40" w:after="40"/>
        <w:ind w:left="720"/>
        <w:rPr>
          <w:rFonts w:ascii="Times New Roman" w:eastAsia="Times New Roman" w:hAnsi="Times New Roman" w:cs="Times New Roman"/>
        </w:rPr>
      </w:pPr>
      <w:r>
        <w:rPr>
          <w:rFonts w:ascii="Times New Roman" w:eastAsia="Times New Roman" w:hAnsi="Times New Roman" w:cs="Times New Roman"/>
        </w:rPr>
        <w:t>1. Desaparición de las causales que justificaron el otorgamiento del beneficio;</w:t>
      </w:r>
    </w:p>
    <w:p w:rsidR="00DB32C5" w:rsidRDefault="00DB32C5" w:rsidP="00DB32C5">
      <w:pPr>
        <w:shd w:val="clear" w:color="auto" w:fill="FFFFFF"/>
        <w:spacing w:before="40" w:after="40"/>
        <w:ind w:left="720"/>
        <w:rPr>
          <w:rFonts w:ascii="Times New Roman" w:eastAsia="Times New Roman" w:hAnsi="Times New Roman" w:cs="Times New Roman"/>
        </w:rPr>
      </w:pPr>
      <w:r>
        <w:rPr>
          <w:rFonts w:ascii="Times New Roman" w:eastAsia="Times New Roman" w:hAnsi="Times New Roman" w:cs="Times New Roman"/>
        </w:rPr>
        <w:t>2. Egreso del estudiante con beca;</w:t>
      </w:r>
    </w:p>
    <w:p w:rsidR="00DB32C5" w:rsidRDefault="00DB32C5" w:rsidP="00DB32C5">
      <w:pPr>
        <w:shd w:val="clear" w:color="auto" w:fill="FFFFFF"/>
        <w:spacing w:before="40"/>
        <w:ind w:left="720"/>
        <w:rPr>
          <w:rFonts w:ascii="Times New Roman" w:eastAsia="Times New Roman" w:hAnsi="Times New Roman" w:cs="Times New Roman"/>
          <w:color w:val="FF0000"/>
        </w:rPr>
      </w:pPr>
      <w:r>
        <w:rPr>
          <w:rFonts w:ascii="Times New Roman" w:eastAsia="Times New Roman" w:hAnsi="Times New Roman" w:cs="Times New Roman"/>
        </w:rPr>
        <w:t>3. Pérdida de la condición de alumna regular de acuerdo a la normativa y los criterios establecidos por la institución en la que estudian;</w:t>
      </w:r>
    </w:p>
    <w:p w:rsidR="00DB32C5" w:rsidRDefault="00DB32C5" w:rsidP="00DB32C5">
      <w:pPr>
        <w:shd w:val="clear" w:color="auto" w:fill="FFFFFF"/>
        <w:spacing w:before="40"/>
        <w:ind w:left="720"/>
        <w:rPr>
          <w:rFonts w:ascii="Times New Roman" w:eastAsia="Times New Roman" w:hAnsi="Times New Roman" w:cs="Times New Roman"/>
        </w:rPr>
      </w:pPr>
      <w:r>
        <w:rPr>
          <w:rFonts w:ascii="Times New Roman" w:eastAsia="Times New Roman" w:hAnsi="Times New Roman" w:cs="Times New Roman"/>
        </w:rPr>
        <w:t>4. Fallecimiento del estudiante.</w:t>
      </w:r>
    </w:p>
    <w:p w:rsidR="00DB32C5" w:rsidRDefault="00DB32C5" w:rsidP="00DB32C5">
      <w:pPr>
        <w:spacing w:before="240" w:after="240"/>
        <w:jc w:val="both"/>
        <w:rPr>
          <w:rFonts w:ascii="Times New Roman" w:eastAsia="Times New Roman" w:hAnsi="Times New Roman" w:cs="Times New Roman"/>
          <w:b/>
        </w:rPr>
      </w:pPr>
      <w:r>
        <w:rPr>
          <w:rFonts w:ascii="Times New Roman" w:eastAsia="Times New Roman" w:hAnsi="Times New Roman" w:cs="Times New Roman"/>
          <w:b/>
        </w:rPr>
        <w:t xml:space="preserve">Artículo 19.- </w:t>
      </w:r>
      <w:r>
        <w:rPr>
          <w:rFonts w:ascii="Times New Roman" w:eastAsia="Times New Roman" w:hAnsi="Times New Roman" w:cs="Times New Roman"/>
          <w:b/>
          <w:highlight w:val="white"/>
        </w:rPr>
        <w:t>Otorgamiento, control y monitoreo.</w:t>
      </w:r>
      <w:r>
        <w:rPr>
          <w:rFonts w:ascii="Times New Roman" w:eastAsia="Times New Roman" w:hAnsi="Times New Roman" w:cs="Times New Roman"/>
          <w:highlight w:val="white"/>
        </w:rPr>
        <w:t xml:space="preserve"> La autoridad de aplicación, a través de las áreas u organismos correspondientes, es el responsable en forma indelegable del otorgamiento, control y evaluación de las </w:t>
      </w:r>
      <w:r>
        <w:rPr>
          <w:rFonts w:ascii="Times New Roman" w:eastAsia="Times New Roman" w:hAnsi="Times New Roman" w:cs="Times New Roman"/>
        </w:rPr>
        <w:t xml:space="preserve">becas para estudiantes  mujeres, peronas no binarias, travestis, transexuales y transgénero  de carreras en tecnología establecidas en el artículo 7 </w:t>
      </w:r>
      <w:r>
        <w:rPr>
          <w:rFonts w:ascii="Times New Roman" w:eastAsia="Times New Roman" w:hAnsi="Times New Roman" w:cs="Times New Roman"/>
          <w:highlight w:val="white"/>
        </w:rPr>
        <w:t>de la presente Ley.</w:t>
      </w:r>
    </w:p>
    <w:p w:rsidR="00DB32C5" w:rsidRDefault="00DB32C5" w:rsidP="00DB32C5">
      <w:pPr>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b/>
        </w:rPr>
        <w:t xml:space="preserve">Artículo 23.- </w:t>
      </w:r>
      <w:r>
        <w:rPr>
          <w:rFonts w:ascii="Times New Roman" w:eastAsia="Times New Roman" w:hAnsi="Times New Roman" w:cs="Times New Roman"/>
          <w:b/>
          <w:highlight w:val="white"/>
        </w:rPr>
        <w:t>Presupuesto</w:t>
      </w:r>
      <w:r>
        <w:rPr>
          <w:rFonts w:ascii="Times New Roman" w:eastAsia="Times New Roman" w:hAnsi="Times New Roman" w:cs="Times New Roman"/>
          <w:highlight w:val="white"/>
        </w:rPr>
        <w:t>. Los gastos que demande la implementación de la presente ley son imputados a la partida presupuestaria correspondiente</w:t>
      </w:r>
    </w:p>
    <w:p w:rsidR="00DB32C5" w:rsidRDefault="00DB32C5" w:rsidP="00DB32C5">
      <w:pPr>
        <w:spacing w:before="240" w:after="240"/>
        <w:jc w:val="both"/>
        <w:rPr>
          <w:rFonts w:ascii="Times New Roman" w:eastAsia="Times New Roman" w:hAnsi="Times New Roman" w:cs="Times New Roman"/>
          <w:highlight w:val="white"/>
        </w:rPr>
      </w:pPr>
      <w:r>
        <w:rPr>
          <w:rFonts w:ascii="Times New Roman" w:eastAsia="Times New Roman" w:hAnsi="Times New Roman" w:cs="Times New Roman"/>
          <w:b/>
        </w:rPr>
        <w:t>Artículo 24.- Autoridad de aplicación.</w:t>
      </w:r>
      <w:r>
        <w:rPr>
          <w:rFonts w:ascii="Times New Roman" w:eastAsia="Times New Roman" w:hAnsi="Times New Roman" w:cs="Times New Roman"/>
        </w:rPr>
        <w:t xml:space="preserve"> El poder ejecutivo establecerá la autoridad de aplicación de la presente ley. </w:t>
      </w:r>
    </w:p>
    <w:p w:rsidR="00DB32C5" w:rsidRDefault="00DB32C5" w:rsidP="00DB32C5">
      <w:pPr>
        <w:spacing w:before="240" w:after="240"/>
        <w:jc w:val="both"/>
        <w:rPr>
          <w:rFonts w:ascii="Times New Roman" w:eastAsia="Times New Roman" w:hAnsi="Times New Roman" w:cs="Times New Roman"/>
        </w:rPr>
      </w:pPr>
      <w:r>
        <w:rPr>
          <w:rFonts w:ascii="Times New Roman" w:eastAsia="Times New Roman" w:hAnsi="Times New Roman" w:cs="Times New Roman"/>
          <w:b/>
        </w:rPr>
        <w:t>Artículo 25.- Comuníquese</w:t>
      </w:r>
      <w:r>
        <w:rPr>
          <w:rFonts w:ascii="Times New Roman" w:eastAsia="Times New Roman" w:hAnsi="Times New Roman" w:cs="Times New Roman"/>
        </w:rPr>
        <w:t>, etc.</w:t>
      </w:r>
    </w:p>
    <w:p w:rsidR="00DB32C5" w:rsidRDefault="00DB32C5" w:rsidP="00DB32C5">
      <w:pPr>
        <w:spacing w:before="240" w:after="240"/>
        <w:jc w:val="both"/>
        <w:rPr>
          <w:rFonts w:ascii="Times New Roman" w:eastAsia="Times New Roman" w:hAnsi="Times New Roman" w:cs="Times New Roman"/>
          <w:b/>
        </w:rPr>
      </w:pPr>
    </w:p>
    <w:p w:rsidR="00DB32C5" w:rsidRDefault="00DB32C5" w:rsidP="00DB32C5">
      <w:pPr>
        <w:spacing w:before="240" w:after="240"/>
        <w:jc w:val="both"/>
        <w:rPr>
          <w:rFonts w:ascii="Times New Roman" w:eastAsia="Times New Roman" w:hAnsi="Times New Roman" w:cs="Times New Roman"/>
          <w:b/>
        </w:rPr>
      </w:pPr>
    </w:p>
    <w:p w:rsidR="00DB32C5" w:rsidRDefault="00DB32C5" w:rsidP="00DB32C5">
      <w:pPr>
        <w:spacing w:before="240" w:after="240"/>
        <w:jc w:val="center"/>
        <w:rPr>
          <w:rFonts w:ascii="Times New Roman" w:eastAsia="Times New Roman" w:hAnsi="Times New Roman" w:cs="Times New Roman"/>
          <w:b/>
        </w:rPr>
      </w:pPr>
      <w:r>
        <w:br w:type="page"/>
      </w:r>
    </w:p>
    <w:p w:rsidR="00DB32C5" w:rsidRDefault="00DB32C5" w:rsidP="00DB32C5">
      <w:pPr>
        <w:spacing w:before="240" w:after="240"/>
        <w:jc w:val="center"/>
        <w:rPr>
          <w:rFonts w:ascii="Times New Roman" w:eastAsia="Times New Roman" w:hAnsi="Times New Roman" w:cs="Times New Roman"/>
          <w:b/>
        </w:rPr>
      </w:pPr>
      <w:r>
        <w:rPr>
          <w:rFonts w:ascii="Times New Roman" w:eastAsia="Times New Roman" w:hAnsi="Times New Roman" w:cs="Times New Roman"/>
          <w:b/>
        </w:rPr>
        <w:lastRenderedPageBreak/>
        <w:t>FUNDAMENTOS</w:t>
      </w:r>
    </w:p>
    <w:p w:rsidR="00DB32C5" w:rsidRDefault="00DB32C5" w:rsidP="00DB32C5">
      <w:pPr>
        <w:spacing w:line="360" w:lineRule="auto"/>
        <w:rPr>
          <w:rFonts w:ascii="Times New Roman" w:eastAsia="Times New Roman" w:hAnsi="Times New Roman" w:cs="Times New Roman"/>
        </w:rPr>
      </w:pPr>
    </w:p>
    <w:p w:rsidR="00DB32C5" w:rsidRDefault="00DB32C5" w:rsidP="00DB32C5">
      <w:pPr>
        <w:shd w:val="clear" w:color="auto" w:fill="FFFFFF"/>
        <w:spacing w:line="360" w:lineRule="auto"/>
        <w:jc w:val="both"/>
        <w:rPr>
          <w:rFonts w:ascii="Times New Roman" w:eastAsia="Times New Roman" w:hAnsi="Times New Roman" w:cs="Times New Roman"/>
        </w:rPr>
      </w:pPr>
      <w:r>
        <w:rPr>
          <w:rFonts w:ascii="Times New Roman" w:eastAsia="Times New Roman" w:hAnsi="Times New Roman" w:cs="Times New Roman"/>
        </w:rPr>
        <w:t>Señor Presidente:</w:t>
      </w:r>
    </w:p>
    <w:p w:rsidR="00DB32C5" w:rsidRDefault="00DB32C5" w:rsidP="00DB32C5">
      <w:pPr>
        <w:shd w:val="clear" w:color="auto" w:fill="FFFFFF"/>
        <w:spacing w:line="360" w:lineRule="auto"/>
        <w:jc w:val="both"/>
        <w:rPr>
          <w:rFonts w:ascii="Times New Roman" w:eastAsia="Times New Roman" w:hAnsi="Times New Roman" w:cs="Times New Roman"/>
        </w:rPr>
      </w:pPr>
    </w:p>
    <w:p w:rsidR="00DB32C5" w:rsidRDefault="00DB32C5" w:rsidP="00DB32C5">
      <w:pPr>
        <w:shd w:val="clear" w:color="auto" w:fill="FFFFFF"/>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La industria de la tecnología toma cada vez más relevancia, tanto a nivel mundial como en el ámbito local. En la actualidad, el sector de la economía del conocimiento ocupa el tercer lugar en las exportaciones que realiza la Argentina, representando el 8% de las exportaciones totales y significando un ingreso de 6.000 millones de dólares al año. En este sentido, entre los años 2007 y 2017, se vio un incremento del 65% en el empleo en el sector y en relación a los salarios son superiores en un 35% al resto de las industrias tradicionales. En adición, año a año en la Argentina quedan alrededor de 5.000 puestos vacantes en tecnología.</w:t>
      </w:r>
    </w:p>
    <w:p w:rsidR="00DB32C5" w:rsidRDefault="00DB32C5" w:rsidP="00DB32C5">
      <w:pPr>
        <w:shd w:val="clear" w:color="auto" w:fill="FFFFFF"/>
        <w:spacing w:line="360" w:lineRule="auto"/>
        <w:ind w:firstLine="720"/>
        <w:jc w:val="both"/>
        <w:rPr>
          <w:rFonts w:ascii="Times New Roman" w:eastAsia="Times New Roman" w:hAnsi="Times New Roman" w:cs="Times New Roman"/>
        </w:rPr>
      </w:pPr>
    </w:p>
    <w:p w:rsidR="00DB32C5" w:rsidRDefault="00DB32C5" w:rsidP="00DB32C5">
      <w:pPr>
        <w:shd w:val="clear" w:color="auto" w:fill="FFFFFF"/>
        <w:spacing w:line="360" w:lineRule="auto"/>
        <w:ind w:firstLine="720"/>
        <w:jc w:val="both"/>
        <w:rPr>
          <w:rFonts w:ascii="Times New Roman" w:eastAsia="Times New Roman" w:hAnsi="Times New Roman" w:cs="Times New Roman"/>
          <w:color w:val="111111"/>
          <w:highlight w:val="white"/>
        </w:rPr>
      </w:pPr>
      <w:r>
        <w:rPr>
          <w:rFonts w:ascii="Times New Roman" w:eastAsia="Times New Roman" w:hAnsi="Times New Roman" w:cs="Times New Roman"/>
          <w:color w:val="111111"/>
        </w:rPr>
        <w:t xml:space="preserve">Se hace imperioso constuir legislación que posibilite crear escenarios de mayor equidad en el ambito educativo y laboral para mujeres, personas no binarias, travestis, transexuales y transgénero. La ley Nacional  N°26.743, el decreto 721/2020 que sanciona el cupo laboral trans, como la ley N°4376 de la Ciudad Autónoma de Buenos Aires, sancionada en el año 2012 y que establece los lineamientos de la Política Pública para el reconocimiento y ejercicio pleno de los derechos del colectivo LGBTIQ+, </w:t>
      </w:r>
      <w:r>
        <w:rPr>
          <w:rFonts w:ascii="Times New Roman" w:eastAsia="Times New Roman" w:hAnsi="Times New Roman" w:cs="Times New Roman"/>
          <w:color w:val="111111"/>
          <w:highlight w:val="white"/>
        </w:rPr>
        <w:t xml:space="preserve">son el marco normativo de referencia de la presente ley. </w:t>
      </w:r>
    </w:p>
    <w:p w:rsidR="00DB32C5" w:rsidRDefault="00DB32C5" w:rsidP="00DB32C5">
      <w:pPr>
        <w:shd w:val="clear" w:color="auto" w:fill="FFFFFF"/>
        <w:spacing w:line="360" w:lineRule="auto"/>
        <w:ind w:firstLine="720"/>
        <w:jc w:val="both"/>
        <w:rPr>
          <w:rFonts w:ascii="Times New Roman" w:eastAsia="Times New Roman" w:hAnsi="Times New Roman" w:cs="Times New Roman"/>
          <w:color w:val="111111"/>
          <w:highlight w:val="white"/>
        </w:rPr>
      </w:pPr>
    </w:p>
    <w:p w:rsidR="00DB32C5" w:rsidRDefault="00DB32C5" w:rsidP="00DB32C5">
      <w:pPr>
        <w:shd w:val="clear" w:color="auto" w:fill="FFFFFF"/>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Al momento de analizar la proporción de género de quienes estudian carreras vinculadas a Ciencia, Tecnología, Ingeniería y Matemática (CTIM) observamos que, tanto en universidades de gestión estatal como de gestión privada, tan sólo el 33% son mujeres y el 67% restante son varones</w:t>
      </w:r>
      <w:r>
        <w:rPr>
          <w:rFonts w:ascii="Times New Roman" w:eastAsia="Times New Roman" w:hAnsi="Times New Roman" w:cs="Times New Roman"/>
          <w:vertAlign w:val="superscript"/>
        </w:rPr>
        <w:footnoteReference w:id="1"/>
      </w:r>
      <w:r>
        <w:rPr>
          <w:rFonts w:ascii="Times New Roman" w:eastAsia="Times New Roman" w:hAnsi="Times New Roman" w:cs="Times New Roman"/>
        </w:rPr>
        <w:t>. Si ese universo lo acotamos sólo a las carreras relacionadas a la programación, ese porcentaje disminuye al 16% para mujeres y asciende un 84% para los varones</w:t>
      </w:r>
      <w:r>
        <w:rPr>
          <w:rFonts w:ascii="Times New Roman" w:eastAsia="Times New Roman" w:hAnsi="Times New Roman" w:cs="Times New Roman"/>
          <w:vertAlign w:val="superscript"/>
        </w:rPr>
        <w:footnoteReference w:id="2"/>
      </w:r>
      <w:r>
        <w:rPr>
          <w:rFonts w:ascii="Times New Roman" w:eastAsia="Times New Roman" w:hAnsi="Times New Roman" w:cs="Times New Roman"/>
        </w:rPr>
        <w:t>. Esta brecha de género en el ámbito de la educación en tecnología, impacta negativamente en las oportunidades laborales de las mujeres para insertarse en este sector. Esto genera, como consecuencia, una vulnerabilidad socioeconómica “</w:t>
      </w:r>
      <w:r>
        <w:rPr>
          <w:rFonts w:ascii="Times New Roman" w:eastAsia="Times New Roman" w:hAnsi="Times New Roman" w:cs="Times New Roman"/>
          <w:i/>
        </w:rPr>
        <w:t>en materia de empleo, remuneración, participación en los puestos de liderazgo y habilidades vinculadas al cambio tecnológico</w:t>
      </w:r>
      <w:r>
        <w:rPr>
          <w:rFonts w:ascii="Times New Roman" w:eastAsia="Times New Roman" w:hAnsi="Times New Roman" w:cs="Times New Roman"/>
        </w:rPr>
        <w:t>”</w:t>
      </w:r>
      <w:r>
        <w:rPr>
          <w:rFonts w:ascii="Times New Roman" w:eastAsia="Times New Roman" w:hAnsi="Times New Roman" w:cs="Times New Roman"/>
          <w:vertAlign w:val="superscript"/>
        </w:rPr>
        <w:footnoteReference w:id="3"/>
      </w:r>
      <w:r>
        <w:rPr>
          <w:rFonts w:ascii="Times New Roman" w:eastAsia="Times New Roman" w:hAnsi="Times New Roman" w:cs="Times New Roman"/>
        </w:rPr>
        <w:t xml:space="preserve">. </w:t>
      </w:r>
    </w:p>
    <w:p w:rsidR="00DB32C5" w:rsidRDefault="00DB32C5" w:rsidP="00DB32C5">
      <w:pPr>
        <w:shd w:val="clear" w:color="auto" w:fill="FFFFFF"/>
        <w:spacing w:line="360" w:lineRule="auto"/>
        <w:ind w:firstLine="720"/>
        <w:jc w:val="both"/>
        <w:rPr>
          <w:rFonts w:ascii="Times New Roman" w:eastAsia="Times New Roman" w:hAnsi="Times New Roman" w:cs="Times New Roman"/>
        </w:rPr>
      </w:pPr>
    </w:p>
    <w:p w:rsidR="00DB32C5" w:rsidRDefault="00DB32C5" w:rsidP="00DB32C5">
      <w:pPr>
        <w:shd w:val="clear" w:color="auto" w:fill="FFFFFF"/>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Por otra parte, es importante mencionar que no existen datos estadisticos oficiales respecto a cuantas son las personas personas no binarias, travestis, transexuales </w:t>
      </w:r>
      <w:r>
        <w:rPr>
          <w:rFonts w:ascii="Times New Roman" w:eastAsia="Times New Roman" w:hAnsi="Times New Roman" w:cs="Times New Roman"/>
        </w:rPr>
        <w:lastRenderedPageBreak/>
        <w:t xml:space="preserve">y transgénero que estudian carreras relacionadas con tecnología en los Institutos Superiores de Formación Técnica de CABA. Visibilizar estas identidades mediante la beca posibilitará mayor equidad. </w:t>
      </w:r>
    </w:p>
    <w:p w:rsidR="00DB32C5" w:rsidRDefault="00DB32C5" w:rsidP="00DB32C5">
      <w:pPr>
        <w:shd w:val="clear" w:color="auto" w:fill="FFFFFF"/>
        <w:spacing w:line="360" w:lineRule="auto"/>
        <w:ind w:firstLine="720"/>
        <w:jc w:val="both"/>
        <w:rPr>
          <w:rFonts w:ascii="Times New Roman" w:eastAsia="Times New Roman" w:hAnsi="Times New Roman" w:cs="Times New Roman"/>
        </w:rPr>
      </w:pPr>
    </w:p>
    <w:p w:rsidR="00DB32C5" w:rsidRDefault="00DB32C5" w:rsidP="00DB32C5">
      <w:pPr>
        <w:shd w:val="clear" w:color="auto" w:fill="FFFFFF"/>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Como sucede también en la mayoría de los ámbitos económicos, políticos y sociales, la brecha de género en el sector de la tecnología responde a estereotipos que son culturalmente impuestos, generando preconceptos que producen la masculinización de este sector. Es por esto que, en función de la relevancia que posee la industria de la tecnología en Argentina, resulta fundamental avanzar hacia políticas públicas que permitan la inclusión de mujeres cis, mujeres trans, femeneidades travestis, varones trans y personas no binarias y que faciliten, no sólo su acceso, sino también la permanencia y egreso en carreras relacionadas con la tecnología. </w:t>
      </w:r>
    </w:p>
    <w:p w:rsidR="00DB32C5" w:rsidRDefault="00DB32C5" w:rsidP="00DB32C5">
      <w:pPr>
        <w:shd w:val="clear" w:color="auto" w:fill="FFFFFF"/>
        <w:spacing w:line="360" w:lineRule="auto"/>
        <w:ind w:firstLine="720"/>
        <w:jc w:val="both"/>
        <w:rPr>
          <w:rFonts w:ascii="Times New Roman" w:eastAsia="Times New Roman" w:hAnsi="Times New Roman" w:cs="Times New Roman"/>
        </w:rPr>
      </w:pPr>
    </w:p>
    <w:p w:rsidR="00DB32C5" w:rsidRDefault="00DB32C5" w:rsidP="00DB32C5">
      <w:pPr>
        <w:shd w:val="clear" w:color="auto" w:fill="FFFFFF"/>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En la Ciudad Autónoma de Buenos Aires, existen catorce Institutos Superiores de Formación Técnica en los que se dictan once carreras relacionadas con la tecnología: análisis de sistemas, automatización y robótica, telecomunicaciones, teleinformática, facilitación tecnológica digital, eficiencia energética, distribución de la energía eléctrica, gestión en energías renovables, autotrónica, mantenimiento industrial del sector automotriz y  desarrollo de software. Si bien se encuentra vigente la Beca para Estudios de Nivel Superior (Ley N° 1843/05),</w:t>
      </w:r>
      <w:r>
        <w:rPr>
          <w:rFonts w:ascii="Times New Roman" w:eastAsia="Times New Roman" w:hAnsi="Times New Roman" w:cs="Times New Roman"/>
          <w:color w:val="111111"/>
          <w:highlight w:val="white"/>
        </w:rPr>
        <w:t xml:space="preserve"> resulta imperioso resaltar que, pese a existir la mencionada ley, año a año se recorta el presupuesto destinado a las mismas, habiendo sufrido en el 2021 una reducción en términos reales del 14%</w:t>
      </w:r>
      <w:r>
        <w:rPr>
          <w:rFonts w:ascii="Times New Roman" w:eastAsia="Times New Roman" w:hAnsi="Times New Roman" w:cs="Times New Roman"/>
        </w:rPr>
        <w:t xml:space="preserve">. De esta forma, durante el año 2021 tan sólo 128 estudiantes recibieron la beca, entre los cuales no sólo forman parte de los Institutos Superiores de Formación Técnica, sino también de los Institutos Superiores de Formación Docente. Asimismo, la mencionada beca posee criterios que muchas veces resultan restrictivos para el acceso, como por ejemplo el criterio que acota la posibilidad de acceder debiendo haber terminado el secundario el año inmediatamente anterior a la postulación, no contemplando las diversas trayectorias educativas que realizan los y las estudiantes. En este sentido, cabe resaltar la importancia que tienen los Institutos Superiores de Formación Técnica, ya que cumplen el rol fundamental de formar a los y las estudiantes para su inserción al mundo laboral, desde la práctica y las habilidades técnicas desarrolladas en los 3 años de carrera, que se encuentran plasmadas en los planes de estudio. </w:t>
      </w:r>
    </w:p>
    <w:p w:rsidR="00DB32C5" w:rsidRDefault="00DB32C5" w:rsidP="00DB32C5">
      <w:pPr>
        <w:shd w:val="clear" w:color="auto" w:fill="FFFFFF"/>
        <w:spacing w:line="360" w:lineRule="auto"/>
        <w:ind w:firstLine="720"/>
        <w:jc w:val="both"/>
        <w:rPr>
          <w:rFonts w:ascii="Times New Roman" w:eastAsia="Times New Roman" w:hAnsi="Times New Roman" w:cs="Times New Roman"/>
        </w:rPr>
      </w:pPr>
    </w:p>
    <w:p w:rsidR="00DB32C5" w:rsidRDefault="00DB32C5" w:rsidP="00DB32C5">
      <w:pPr>
        <w:shd w:val="clear" w:color="auto" w:fill="FFFFFF"/>
        <w:spacing w:line="360" w:lineRule="auto"/>
        <w:ind w:firstLine="720"/>
        <w:jc w:val="both"/>
        <w:rPr>
          <w:rFonts w:ascii="Times New Roman" w:eastAsia="Times New Roman" w:hAnsi="Times New Roman" w:cs="Times New Roman"/>
          <w:highlight w:val="yellow"/>
        </w:rPr>
      </w:pPr>
    </w:p>
    <w:p w:rsidR="00DB32C5" w:rsidRDefault="00DB32C5" w:rsidP="00DB32C5">
      <w:pPr>
        <w:shd w:val="clear" w:color="auto" w:fill="FFFFFF"/>
        <w:spacing w:line="360" w:lineRule="auto"/>
        <w:ind w:firstLine="720"/>
        <w:jc w:val="both"/>
        <w:rPr>
          <w:rFonts w:ascii="Times New Roman" w:eastAsia="Times New Roman" w:hAnsi="Times New Roman" w:cs="Times New Roman"/>
        </w:rPr>
      </w:pPr>
    </w:p>
    <w:p w:rsidR="00DB32C5" w:rsidRDefault="00DB32C5" w:rsidP="00DB32C5">
      <w:pPr>
        <w:shd w:val="clear" w:color="auto" w:fill="FFFFFF"/>
        <w:spacing w:line="360" w:lineRule="auto"/>
        <w:ind w:firstLine="720"/>
        <w:jc w:val="both"/>
        <w:rPr>
          <w:rFonts w:ascii="Times New Roman" w:eastAsia="Times New Roman" w:hAnsi="Times New Roman" w:cs="Times New Roman"/>
          <w:color w:val="980000"/>
        </w:rPr>
      </w:pPr>
      <w:r>
        <w:rPr>
          <w:rFonts w:ascii="Times New Roman" w:eastAsia="Times New Roman" w:hAnsi="Times New Roman" w:cs="Times New Roman"/>
        </w:rPr>
        <w:lastRenderedPageBreak/>
        <w:t>En adición, no existen políticas que atiendan a reducir la brecha de género en tecnología, por lo que resulta fundamental promover el acceso, permanencia y egreso de mujeres.</w:t>
      </w:r>
      <w:r>
        <w:rPr>
          <w:rFonts w:ascii="Times New Roman" w:eastAsia="Times New Roman" w:hAnsi="Times New Roman" w:cs="Times New Roman"/>
          <w:highlight w:val="yellow"/>
        </w:rPr>
        <w:br/>
      </w:r>
    </w:p>
    <w:p w:rsidR="00DB32C5" w:rsidRDefault="00DB32C5" w:rsidP="00DB32C5">
      <w:pPr>
        <w:shd w:val="clear" w:color="auto" w:fill="FFFFFF"/>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La Ley de Educación Superior 24.521 establece en el artículo 13 que los y las estudiantes de las instituciones estatales de educación superior tienen derecho a “</w:t>
      </w:r>
      <w:r>
        <w:rPr>
          <w:rFonts w:ascii="Times New Roman" w:eastAsia="Times New Roman" w:hAnsi="Times New Roman" w:cs="Times New Roman"/>
          <w:i/>
        </w:rPr>
        <w:t>obtener becas, créditos y otras formas de apoyo económico y social que garanticen la igualdad de oportunidades y posibilidades, particularmente para el acceso y permanencia en los estudios de grado</w:t>
      </w:r>
      <w:r>
        <w:rPr>
          <w:rFonts w:ascii="Times New Roman" w:eastAsia="Times New Roman" w:hAnsi="Times New Roman" w:cs="Times New Roman"/>
        </w:rPr>
        <w:t xml:space="preserve">”. Así mismo, la Constitución de la Ciudad Autónoma de Buenos Aires señala en su artículo 24 que la Ciudad </w:t>
      </w:r>
      <w:r>
        <w:rPr>
          <w:rFonts w:ascii="Times New Roman" w:eastAsia="Times New Roman" w:hAnsi="Times New Roman" w:cs="Times New Roman"/>
          <w:i/>
        </w:rPr>
        <w:t xml:space="preserve">“asume la responsabilidad indelegable de asegurar y financiar la educación pública, estatal, laica y gratuita en todos los niveles y modalidades, a partir de los cuarenta y cinco días de vida </w:t>
      </w:r>
      <w:r>
        <w:rPr>
          <w:rFonts w:ascii="Times New Roman" w:eastAsia="Times New Roman" w:hAnsi="Times New Roman" w:cs="Times New Roman"/>
          <w:b/>
          <w:i/>
        </w:rPr>
        <w:t>hasta el nivel superior</w:t>
      </w:r>
      <w:r>
        <w:rPr>
          <w:rFonts w:ascii="Times New Roman" w:eastAsia="Times New Roman" w:hAnsi="Times New Roman" w:cs="Times New Roman"/>
          <w:i/>
        </w:rPr>
        <w:t>”.</w:t>
      </w:r>
      <w:r>
        <w:rPr>
          <w:rFonts w:ascii="Times New Roman" w:eastAsia="Times New Roman" w:hAnsi="Times New Roman" w:cs="Times New Roman"/>
        </w:rPr>
        <w:t xml:space="preserve"> </w:t>
      </w:r>
    </w:p>
    <w:p w:rsidR="00DB32C5" w:rsidRDefault="00DB32C5" w:rsidP="00DB32C5">
      <w:pPr>
        <w:shd w:val="clear" w:color="auto" w:fill="FFFFFF"/>
        <w:spacing w:line="360" w:lineRule="auto"/>
        <w:ind w:firstLine="720"/>
        <w:jc w:val="both"/>
        <w:rPr>
          <w:rFonts w:ascii="Times New Roman" w:eastAsia="Times New Roman" w:hAnsi="Times New Roman" w:cs="Times New Roman"/>
        </w:rPr>
      </w:pPr>
    </w:p>
    <w:p w:rsidR="00DB32C5" w:rsidRDefault="00DB32C5" w:rsidP="00DB32C5">
      <w:pPr>
        <w:shd w:val="clear" w:color="auto" w:fill="FFFFFF"/>
        <w:spacing w:line="360" w:lineRule="auto"/>
        <w:ind w:firstLine="720"/>
        <w:jc w:val="both"/>
        <w:rPr>
          <w:rFonts w:ascii="Times New Roman" w:eastAsia="Times New Roman" w:hAnsi="Times New Roman" w:cs="Times New Roman"/>
        </w:rPr>
      </w:pPr>
      <w:r>
        <w:rPr>
          <w:rFonts w:ascii="Times New Roman" w:eastAsia="Times New Roman" w:hAnsi="Times New Roman" w:cs="Times New Roman"/>
        </w:rPr>
        <w:t>Es por esto que el presente proyecto tiene como objetivo la creación de un régimen de becas específico para  mujeres, personas no binarias y trans para fomentar su inserción en el ámbito de la tecnología y aportar a la reducción de la brecha digital de género.</w:t>
      </w:r>
    </w:p>
    <w:p w:rsidR="00DB32C5" w:rsidRDefault="00DB32C5" w:rsidP="00DB32C5">
      <w:pPr>
        <w:shd w:val="clear" w:color="auto" w:fill="FFFFFF"/>
        <w:spacing w:line="360" w:lineRule="auto"/>
        <w:ind w:firstLine="720"/>
        <w:jc w:val="both"/>
        <w:rPr>
          <w:rFonts w:ascii="Times New Roman" w:eastAsia="Times New Roman" w:hAnsi="Times New Roman" w:cs="Times New Roman"/>
        </w:rPr>
      </w:pPr>
    </w:p>
    <w:p w:rsidR="00DB32C5" w:rsidRDefault="00DB32C5" w:rsidP="00DB32C5">
      <w:pPr>
        <w:shd w:val="clear" w:color="auto" w:fill="FFFFFF"/>
        <w:spacing w:line="360" w:lineRule="auto"/>
        <w:ind w:firstLine="720"/>
        <w:jc w:val="both"/>
      </w:pPr>
      <w:r>
        <w:rPr>
          <w:rFonts w:ascii="Times New Roman" w:eastAsia="Times New Roman" w:hAnsi="Times New Roman" w:cs="Times New Roman"/>
        </w:rPr>
        <w:t>Por todo lo anteriormente expuesto, solicitamos se acompañe el presente proyecto de ley.</w:t>
      </w:r>
    </w:p>
    <w:p w:rsidR="005D0EB5" w:rsidRPr="00DB32C5" w:rsidRDefault="005D0EB5" w:rsidP="00DB32C5"/>
    <w:sectPr w:rsidR="005D0EB5" w:rsidRPr="00DB32C5" w:rsidSect="005E3C49">
      <w:headerReference w:type="default" r:id="rId9"/>
      <w:footerReference w:type="default" r:id="rId10"/>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16CF" w:rsidRDefault="007616CF">
      <w:r>
        <w:separator/>
      </w:r>
    </w:p>
  </w:endnote>
  <w:endnote w:type="continuationSeparator" w:id="0">
    <w:p w:rsidR="007616CF" w:rsidRDefault="00761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B32C5" w:rsidRPr="00DB32C5">
        <w:rPr>
          <w:noProof/>
          <w:color w:val="333333"/>
          <w:sz w:val="20"/>
        </w:rPr>
        <w:t>30/11/2021 16:24:00</w:t>
      </w:r>
    </w:fldSimple>
    <w:r w:rsidRPr="001C19C4">
      <w:rPr>
        <w:color w:val="333333"/>
        <w:sz w:val="20"/>
      </w:rPr>
      <w:t xml:space="preserve">  -  Cantidad de caracteres: </w:t>
    </w:r>
    <w:fldSimple w:instr=" NUMCHARS  \* MERGEFORMAT ">
      <w:r w:rsidR="00DB32C5" w:rsidRPr="00DB32C5">
        <w:rPr>
          <w:noProof/>
          <w:color w:val="333333"/>
          <w:sz w:val="20"/>
        </w:rPr>
        <w:t>11769</w:t>
      </w:r>
    </w:fldSimple>
    <w:r w:rsidRPr="001C19C4">
      <w:rPr>
        <w:color w:val="333333"/>
        <w:sz w:val="20"/>
      </w:rPr>
      <w:t xml:space="preserve"> - Cantidad de palabras: </w:t>
    </w:r>
    <w:fldSimple w:instr=" NUMWORDS  \* MERGEFORMAT ">
      <w:r w:rsidR="00DB32C5" w:rsidRPr="00DB32C5">
        <w:rPr>
          <w:noProof/>
          <w:color w:val="333333"/>
          <w:sz w:val="20"/>
        </w:rPr>
        <w:t>2132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00E33996" w:rsidRPr="001C19C4">
      <w:rPr>
        <w:rStyle w:val="Nmerodepgina"/>
        <w:color w:val="333333"/>
      </w:rPr>
      <w:fldChar w:fldCharType="begin"/>
    </w:r>
    <w:r w:rsidRPr="001C19C4">
      <w:rPr>
        <w:rStyle w:val="Nmerodepgina"/>
        <w:color w:val="333333"/>
      </w:rPr>
      <w:instrText xml:space="preserve"> PAGE </w:instrText>
    </w:r>
    <w:r w:rsidR="00E33996" w:rsidRPr="001C19C4">
      <w:rPr>
        <w:rStyle w:val="Nmerodepgina"/>
        <w:color w:val="333333"/>
      </w:rPr>
      <w:fldChar w:fldCharType="separate"/>
    </w:r>
    <w:r w:rsidR="00DB32C5">
      <w:rPr>
        <w:rStyle w:val="Nmerodepgina"/>
        <w:noProof/>
        <w:color w:val="333333"/>
      </w:rPr>
      <w:t>2</w:t>
    </w:r>
    <w:r w:rsidR="00E33996" w:rsidRPr="001C19C4">
      <w:rPr>
        <w:rStyle w:val="Nmerodepgina"/>
        <w:color w:val="333333"/>
      </w:rPr>
      <w:fldChar w:fldCharType="end"/>
    </w:r>
    <w:r w:rsidRPr="001C19C4">
      <w:rPr>
        <w:rStyle w:val="Nmerodepgina"/>
        <w:color w:val="333333"/>
      </w:rPr>
      <w:t>/</w:t>
    </w:r>
    <w:fldSimple w:instr=" NUMPAGES  \* MERGEFORMAT ">
      <w:r w:rsidR="00DB32C5" w:rsidRPr="00DB32C5">
        <w:rPr>
          <w:rStyle w:val="Nmerodepgina"/>
          <w:noProof/>
          <w:color w:val="333333"/>
        </w:rPr>
        <w:t>6</w:t>
      </w:r>
    </w:fldSimple>
  </w:p>
  <w:p w:rsidR="00601A75" w:rsidRPr="001C19C4" w:rsidRDefault="00601A75">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16CF" w:rsidRDefault="007616CF">
      <w:r>
        <w:separator/>
      </w:r>
    </w:p>
  </w:footnote>
  <w:footnote w:type="continuationSeparator" w:id="0">
    <w:p w:rsidR="007616CF" w:rsidRDefault="007616CF">
      <w:r>
        <w:continuationSeparator/>
      </w:r>
    </w:p>
  </w:footnote>
  <w:footnote w:id="1">
    <w:p w:rsidR="00DB32C5" w:rsidRDefault="00DB32C5" w:rsidP="00DB32C5">
      <w:pPr>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Un potencial con barreras, BID-INTAL, 2018.</w:t>
      </w:r>
    </w:p>
  </w:footnote>
  <w:footnote w:id="2">
    <w:p w:rsidR="00DB32C5" w:rsidRDefault="00DB32C5" w:rsidP="00DB32C5">
      <w:pPr>
        <w:rPr>
          <w:rFonts w:ascii="Times New Roman" w:eastAsia="Times New Roman" w:hAnsi="Times New Roman" w:cs="Times New Roman"/>
          <w:sz w:val="16"/>
          <w:szCs w:val="16"/>
        </w:rPr>
      </w:pPr>
      <w:r>
        <w:rPr>
          <w:vertAlign w:val="superscript"/>
        </w:rPr>
        <w:footnoteRef/>
      </w:r>
      <w:r>
        <w:rPr>
          <w:rFonts w:ascii="Times New Roman" w:eastAsia="Times New Roman" w:hAnsi="Times New Roman" w:cs="Times New Roman"/>
          <w:sz w:val="20"/>
          <w:szCs w:val="20"/>
        </w:rPr>
        <w:t xml:space="preserve"> Mujeres programadoras, Chicas en Tecnología, 2017</w:t>
      </w:r>
      <w:r>
        <w:rPr>
          <w:rFonts w:ascii="Times New Roman" w:eastAsia="Times New Roman" w:hAnsi="Times New Roman" w:cs="Times New Roman"/>
          <w:sz w:val="16"/>
          <w:szCs w:val="16"/>
        </w:rPr>
        <w:t>.</w:t>
      </w:r>
    </w:p>
  </w:footnote>
  <w:footnote w:id="3">
    <w:p w:rsidR="00DB32C5" w:rsidRDefault="00DB32C5" w:rsidP="00DB32C5">
      <w:pPr>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16"/>
          <w:szCs w:val="16"/>
        </w:rPr>
        <w:t xml:space="preserve"> </w:t>
      </w:r>
      <w:r>
        <w:rPr>
          <w:rFonts w:ascii="Times New Roman" w:eastAsia="Times New Roman" w:hAnsi="Times New Roman" w:cs="Times New Roman"/>
          <w:sz w:val="20"/>
          <w:szCs w:val="20"/>
        </w:rPr>
        <w:t>Las mujeres en el trabajo, ILO-OIT, 2016.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14:anchorId="304F9335" wp14:editId="77CF170A">
          <wp:extent cx="1885950" cy="342900"/>
          <wp:effectExtent l="19050" t="0" r="0" b="0"/>
          <wp:docPr id="2"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9517D7"/>
    <w:multiLevelType w:val="hybridMultilevel"/>
    <w:tmpl w:val="306AA3A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0692CBC"/>
    <w:multiLevelType w:val="multilevel"/>
    <w:tmpl w:val="A4FE11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107D4604"/>
    <w:multiLevelType w:val="multilevel"/>
    <w:tmpl w:val="A112DE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AF73727"/>
    <w:multiLevelType w:val="multilevel"/>
    <w:tmpl w:val="2D7E8A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8D769E"/>
    <w:multiLevelType w:val="multilevel"/>
    <w:tmpl w:val="8446F6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3EC559A6"/>
    <w:multiLevelType w:val="multilevel"/>
    <w:tmpl w:val="098ED410"/>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6">
    <w:nsid w:val="3FF31028"/>
    <w:multiLevelType w:val="multilevel"/>
    <w:tmpl w:val="03E4AE1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7">
    <w:nsid w:val="497E307B"/>
    <w:multiLevelType w:val="multilevel"/>
    <w:tmpl w:val="5766599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nsid w:val="528D2BE2"/>
    <w:multiLevelType w:val="multilevel"/>
    <w:tmpl w:val="615A59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B935C06"/>
    <w:multiLevelType w:val="multilevel"/>
    <w:tmpl w:val="4FE8EC9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nsid w:val="65570555"/>
    <w:multiLevelType w:val="multilevel"/>
    <w:tmpl w:val="70D402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6B236927"/>
    <w:multiLevelType w:val="multilevel"/>
    <w:tmpl w:val="7CB24E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77CE780B"/>
    <w:multiLevelType w:val="multilevel"/>
    <w:tmpl w:val="17FCA21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
    <w:nsid w:val="78773646"/>
    <w:multiLevelType w:val="multilevel"/>
    <w:tmpl w:val="CB74C03A"/>
    <w:lvl w:ilvl="0">
      <w:start w:val="1"/>
      <w:numFmt w:val="lowerLetter"/>
      <w:lvlText w:val="%1."/>
      <w:lvlJc w:val="left"/>
      <w:pPr>
        <w:ind w:left="720" w:hanging="360"/>
      </w:pPr>
      <w:rPr>
        <w:color w:val="00000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 w:numId="2">
    <w:abstractNumId w:val="4"/>
  </w:num>
  <w:num w:numId="3">
    <w:abstractNumId w:val="3"/>
  </w:num>
  <w:num w:numId="4">
    <w:abstractNumId w:val="3"/>
    <w:lvlOverride w:ilvl="1">
      <w:lvl w:ilvl="1">
        <w:numFmt w:val="lowerLetter"/>
        <w:lvlText w:val="%2."/>
        <w:lvlJc w:val="left"/>
      </w:lvl>
    </w:lvlOverride>
  </w:num>
  <w:num w:numId="5">
    <w:abstractNumId w:val="8"/>
  </w:num>
  <w:num w:numId="6">
    <w:abstractNumId w:val="8"/>
    <w:lvlOverride w:ilvl="1">
      <w:lvl w:ilvl="1">
        <w:numFmt w:val="lowerLetter"/>
        <w:lvlText w:val="%2."/>
        <w:lvlJc w:val="left"/>
      </w:lvl>
    </w:lvlOverride>
  </w:num>
  <w:num w:numId="7">
    <w:abstractNumId w:val="6"/>
  </w:num>
  <w:num w:numId="8">
    <w:abstractNumId w:val="5"/>
  </w:num>
  <w:num w:numId="9">
    <w:abstractNumId w:val="12"/>
  </w:num>
  <w:num w:numId="10">
    <w:abstractNumId w:val="13"/>
  </w:num>
  <w:num w:numId="11">
    <w:abstractNumId w:val="2"/>
  </w:num>
  <w:num w:numId="12">
    <w:abstractNumId w:val="10"/>
  </w:num>
  <w:num w:numId="13">
    <w:abstractNumId w:val="11"/>
  </w:num>
  <w:num w:numId="14">
    <w:abstractNumId w:val="7"/>
  </w:num>
  <w:num w:numId="15">
    <w:abstractNumId w:val="1"/>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41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3577"/>
    <w:rsid w:val="001B770D"/>
    <w:rsid w:val="001C18CC"/>
    <w:rsid w:val="001C19C4"/>
    <w:rsid w:val="001D480C"/>
    <w:rsid w:val="001E0E01"/>
    <w:rsid w:val="001E5394"/>
    <w:rsid w:val="001F2924"/>
    <w:rsid w:val="001F3AFD"/>
    <w:rsid w:val="00205802"/>
    <w:rsid w:val="00205DAD"/>
    <w:rsid w:val="00223436"/>
    <w:rsid w:val="002301D8"/>
    <w:rsid w:val="002327DE"/>
    <w:rsid w:val="0024601F"/>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1A7F"/>
    <w:rsid w:val="0038098E"/>
    <w:rsid w:val="00395843"/>
    <w:rsid w:val="003A7311"/>
    <w:rsid w:val="003B471C"/>
    <w:rsid w:val="003D10AB"/>
    <w:rsid w:val="003D4000"/>
    <w:rsid w:val="003F1EFD"/>
    <w:rsid w:val="003F4249"/>
    <w:rsid w:val="00401C75"/>
    <w:rsid w:val="0040761B"/>
    <w:rsid w:val="004175E2"/>
    <w:rsid w:val="00422C3F"/>
    <w:rsid w:val="004354AC"/>
    <w:rsid w:val="00444047"/>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77F4B"/>
    <w:rsid w:val="00584777"/>
    <w:rsid w:val="00587242"/>
    <w:rsid w:val="005A1232"/>
    <w:rsid w:val="005A32ED"/>
    <w:rsid w:val="005A3AA1"/>
    <w:rsid w:val="005A3DA3"/>
    <w:rsid w:val="005A4D27"/>
    <w:rsid w:val="005B0FAF"/>
    <w:rsid w:val="005B14CE"/>
    <w:rsid w:val="005B6538"/>
    <w:rsid w:val="005C37AB"/>
    <w:rsid w:val="005D0EB5"/>
    <w:rsid w:val="005E3C49"/>
    <w:rsid w:val="005F2B66"/>
    <w:rsid w:val="005F35E2"/>
    <w:rsid w:val="00601A75"/>
    <w:rsid w:val="00616F70"/>
    <w:rsid w:val="00622DE5"/>
    <w:rsid w:val="00636BE0"/>
    <w:rsid w:val="0064363E"/>
    <w:rsid w:val="0066609F"/>
    <w:rsid w:val="006811D6"/>
    <w:rsid w:val="00690392"/>
    <w:rsid w:val="00697F19"/>
    <w:rsid w:val="00697F98"/>
    <w:rsid w:val="006C326A"/>
    <w:rsid w:val="006C40E9"/>
    <w:rsid w:val="006D192A"/>
    <w:rsid w:val="006D3303"/>
    <w:rsid w:val="006D5CB7"/>
    <w:rsid w:val="006E26B5"/>
    <w:rsid w:val="006E3675"/>
    <w:rsid w:val="00706B8E"/>
    <w:rsid w:val="00715AF3"/>
    <w:rsid w:val="00720C1E"/>
    <w:rsid w:val="007236C6"/>
    <w:rsid w:val="00734F30"/>
    <w:rsid w:val="0073672A"/>
    <w:rsid w:val="007410E7"/>
    <w:rsid w:val="007420D8"/>
    <w:rsid w:val="007533D6"/>
    <w:rsid w:val="00757B2D"/>
    <w:rsid w:val="007616CF"/>
    <w:rsid w:val="00771B54"/>
    <w:rsid w:val="007728C1"/>
    <w:rsid w:val="00777916"/>
    <w:rsid w:val="00780167"/>
    <w:rsid w:val="00795E19"/>
    <w:rsid w:val="007B0FD7"/>
    <w:rsid w:val="007B3715"/>
    <w:rsid w:val="007B6DE7"/>
    <w:rsid w:val="007C0373"/>
    <w:rsid w:val="007C0CF9"/>
    <w:rsid w:val="007D135E"/>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1984"/>
    <w:rsid w:val="008A5411"/>
    <w:rsid w:val="008B4536"/>
    <w:rsid w:val="008C1EDF"/>
    <w:rsid w:val="008C4AC3"/>
    <w:rsid w:val="008D39AA"/>
    <w:rsid w:val="00906685"/>
    <w:rsid w:val="00910E0F"/>
    <w:rsid w:val="0091690E"/>
    <w:rsid w:val="00947238"/>
    <w:rsid w:val="009624FC"/>
    <w:rsid w:val="0096461D"/>
    <w:rsid w:val="0099383E"/>
    <w:rsid w:val="009953AF"/>
    <w:rsid w:val="00996E34"/>
    <w:rsid w:val="009A5671"/>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3E2C"/>
    <w:rsid w:val="00A66804"/>
    <w:rsid w:val="00A75EED"/>
    <w:rsid w:val="00A7779B"/>
    <w:rsid w:val="00A878E2"/>
    <w:rsid w:val="00A962A7"/>
    <w:rsid w:val="00AA08DB"/>
    <w:rsid w:val="00AA2FEA"/>
    <w:rsid w:val="00AA6C7E"/>
    <w:rsid w:val="00AA7C22"/>
    <w:rsid w:val="00AB0A73"/>
    <w:rsid w:val="00AB5EB2"/>
    <w:rsid w:val="00AC3839"/>
    <w:rsid w:val="00AE181E"/>
    <w:rsid w:val="00AE2E8F"/>
    <w:rsid w:val="00AF5760"/>
    <w:rsid w:val="00AF6352"/>
    <w:rsid w:val="00B0526C"/>
    <w:rsid w:val="00B05649"/>
    <w:rsid w:val="00B1723C"/>
    <w:rsid w:val="00B177FE"/>
    <w:rsid w:val="00B264C1"/>
    <w:rsid w:val="00B31B65"/>
    <w:rsid w:val="00B36178"/>
    <w:rsid w:val="00B4532F"/>
    <w:rsid w:val="00B46232"/>
    <w:rsid w:val="00B85EE2"/>
    <w:rsid w:val="00BC205E"/>
    <w:rsid w:val="00BD641B"/>
    <w:rsid w:val="00BF2B7B"/>
    <w:rsid w:val="00BF71C2"/>
    <w:rsid w:val="00C26F53"/>
    <w:rsid w:val="00C330CB"/>
    <w:rsid w:val="00C3675D"/>
    <w:rsid w:val="00C419C1"/>
    <w:rsid w:val="00C51E49"/>
    <w:rsid w:val="00C521F9"/>
    <w:rsid w:val="00C53316"/>
    <w:rsid w:val="00C63351"/>
    <w:rsid w:val="00C71253"/>
    <w:rsid w:val="00C734F9"/>
    <w:rsid w:val="00C87365"/>
    <w:rsid w:val="00C93FF6"/>
    <w:rsid w:val="00CC20B0"/>
    <w:rsid w:val="00CE163F"/>
    <w:rsid w:val="00D02FA3"/>
    <w:rsid w:val="00D21279"/>
    <w:rsid w:val="00D43AA2"/>
    <w:rsid w:val="00D518DB"/>
    <w:rsid w:val="00D55ECB"/>
    <w:rsid w:val="00D56ED6"/>
    <w:rsid w:val="00D67721"/>
    <w:rsid w:val="00D758CE"/>
    <w:rsid w:val="00D76A86"/>
    <w:rsid w:val="00D927D4"/>
    <w:rsid w:val="00DA460A"/>
    <w:rsid w:val="00DA55CB"/>
    <w:rsid w:val="00DB32C5"/>
    <w:rsid w:val="00DC7B95"/>
    <w:rsid w:val="00DD2795"/>
    <w:rsid w:val="00DD4DE2"/>
    <w:rsid w:val="00DD520D"/>
    <w:rsid w:val="00DF0164"/>
    <w:rsid w:val="00DF14A9"/>
    <w:rsid w:val="00DF54AA"/>
    <w:rsid w:val="00E07D33"/>
    <w:rsid w:val="00E12909"/>
    <w:rsid w:val="00E12DDE"/>
    <w:rsid w:val="00E143B6"/>
    <w:rsid w:val="00E30CFF"/>
    <w:rsid w:val="00E33996"/>
    <w:rsid w:val="00E55186"/>
    <w:rsid w:val="00E5658D"/>
    <w:rsid w:val="00E60A05"/>
    <w:rsid w:val="00E615F1"/>
    <w:rsid w:val="00E63146"/>
    <w:rsid w:val="00E64A1D"/>
    <w:rsid w:val="00E74920"/>
    <w:rsid w:val="00E81EE5"/>
    <w:rsid w:val="00E8726C"/>
    <w:rsid w:val="00E91F21"/>
    <w:rsid w:val="00EB6956"/>
    <w:rsid w:val="00EE6672"/>
    <w:rsid w:val="00EF0D22"/>
    <w:rsid w:val="00F13C69"/>
    <w:rsid w:val="00F41DF6"/>
    <w:rsid w:val="00F420E7"/>
    <w:rsid w:val="00F52245"/>
    <w:rsid w:val="00F5569F"/>
    <w:rsid w:val="00F60308"/>
    <w:rsid w:val="00F640D0"/>
    <w:rsid w:val="00F75389"/>
    <w:rsid w:val="00F903E8"/>
    <w:rsid w:val="00FA0C8C"/>
    <w:rsid w:val="00FB4F49"/>
    <w:rsid w:val="00FD07F5"/>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671"/>
    <w:rPr>
      <w:rFonts w:asciiTheme="minorHAnsi" w:eastAsiaTheme="minorEastAsia" w:hAnsiTheme="minorHAnsi" w:cstheme="minorBidi"/>
      <w:sz w:val="24"/>
      <w:szCs w:val="24"/>
      <w:lang w:val="es-ES_tradnl" w:eastAsia="es-ES"/>
    </w:rPr>
  </w:style>
  <w:style w:type="paragraph" w:styleId="Ttulo3">
    <w:name w:val="heading 3"/>
    <w:basedOn w:val="Normal"/>
    <w:link w:val="Ttulo3Car"/>
    <w:qFormat/>
    <w:rsid w:val="009A5671"/>
    <w:pPr>
      <w:spacing w:before="100" w:beforeAutospacing="1" w:after="100" w:afterAutospacing="1"/>
      <w:outlineLvl w:val="2"/>
    </w:pPr>
    <w:rPr>
      <w:rFonts w:ascii="Times New Roman" w:eastAsia="Times New Roman" w:hAnsi="Times New Roman" w:cs="Times New Roman"/>
      <w:b/>
      <w:bCs/>
      <w:sz w:val="27"/>
      <w:szCs w:val="27"/>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Ttulo3Car">
    <w:name w:val="Título 3 Car"/>
    <w:basedOn w:val="Fuentedeprrafopredeter"/>
    <w:link w:val="Ttulo3"/>
    <w:rsid w:val="009A5671"/>
    <w:rPr>
      <w:b/>
      <w:bCs/>
      <w:sz w:val="27"/>
      <w:szCs w:val="27"/>
    </w:rPr>
  </w:style>
  <w:style w:type="paragraph" w:styleId="Prrafodelista">
    <w:name w:val="List Paragraph"/>
    <w:basedOn w:val="Normal"/>
    <w:uiPriority w:val="34"/>
    <w:qFormat/>
    <w:rsid w:val="009A5671"/>
    <w:pPr>
      <w:ind w:left="720"/>
      <w:contextualSpacing/>
    </w:pPr>
  </w:style>
  <w:style w:type="paragraph" w:customStyle="1" w:styleId="Normal1">
    <w:name w:val="Normal1"/>
    <w:rsid w:val="008A1984"/>
    <w:pPr>
      <w:spacing w:line="276" w:lineRule="auto"/>
    </w:pPr>
    <w:rPr>
      <w:rFonts w:ascii="Arial" w:eastAsia="Arial" w:hAnsi="Arial" w:cs="Arial"/>
      <w:sz w:val="22"/>
      <w:szCs w:val="22"/>
    </w:rPr>
  </w:style>
  <w:style w:type="paragraph" w:styleId="NormalWeb">
    <w:name w:val="Normal (Web)"/>
    <w:basedOn w:val="Normal"/>
    <w:uiPriority w:val="99"/>
    <w:semiHidden/>
    <w:unhideWhenUsed/>
    <w:rsid w:val="002301D8"/>
    <w:pPr>
      <w:spacing w:before="100" w:beforeAutospacing="1" w:after="100" w:afterAutospacing="1"/>
    </w:pPr>
    <w:rPr>
      <w:rFonts w:ascii="Times New Roman" w:eastAsia="Times New Roman" w:hAnsi="Times New Roman" w:cs="Times New Roman"/>
      <w:lang w:val="es-US" w:eastAsia="es-US"/>
    </w:rPr>
  </w:style>
  <w:style w:type="character" w:styleId="Hipervnculo">
    <w:name w:val="Hyperlink"/>
    <w:basedOn w:val="Fuentedeprrafopredeter"/>
    <w:uiPriority w:val="99"/>
    <w:semiHidden/>
    <w:unhideWhenUsed/>
    <w:rsid w:val="005D0EB5"/>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671"/>
    <w:rPr>
      <w:rFonts w:asciiTheme="minorHAnsi" w:eastAsiaTheme="minorEastAsia" w:hAnsiTheme="minorHAnsi" w:cstheme="minorBidi"/>
      <w:sz w:val="24"/>
      <w:szCs w:val="24"/>
      <w:lang w:val="es-ES_tradnl" w:eastAsia="es-ES"/>
    </w:rPr>
  </w:style>
  <w:style w:type="paragraph" w:styleId="Ttulo3">
    <w:name w:val="heading 3"/>
    <w:basedOn w:val="Normal"/>
    <w:link w:val="Ttulo3Car"/>
    <w:qFormat/>
    <w:rsid w:val="009A5671"/>
    <w:pPr>
      <w:spacing w:before="100" w:beforeAutospacing="1" w:after="100" w:afterAutospacing="1"/>
      <w:outlineLvl w:val="2"/>
    </w:pPr>
    <w:rPr>
      <w:rFonts w:ascii="Times New Roman" w:eastAsia="Times New Roman" w:hAnsi="Times New Roman" w:cs="Times New Roman"/>
      <w:b/>
      <w:bCs/>
      <w:sz w:val="27"/>
      <w:szCs w:val="27"/>
      <w:lang w:val="es-AR"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Ttulo3Car">
    <w:name w:val="Título 3 Car"/>
    <w:basedOn w:val="Fuentedeprrafopredeter"/>
    <w:link w:val="Ttulo3"/>
    <w:rsid w:val="009A5671"/>
    <w:rPr>
      <w:b/>
      <w:bCs/>
      <w:sz w:val="27"/>
      <w:szCs w:val="27"/>
    </w:rPr>
  </w:style>
  <w:style w:type="paragraph" w:styleId="Prrafodelista">
    <w:name w:val="List Paragraph"/>
    <w:basedOn w:val="Normal"/>
    <w:uiPriority w:val="34"/>
    <w:qFormat/>
    <w:rsid w:val="009A5671"/>
    <w:pPr>
      <w:ind w:left="720"/>
      <w:contextualSpacing/>
    </w:pPr>
  </w:style>
  <w:style w:type="paragraph" w:customStyle="1" w:styleId="Normal1">
    <w:name w:val="Normal1"/>
    <w:rsid w:val="008A1984"/>
    <w:pPr>
      <w:spacing w:line="276" w:lineRule="auto"/>
    </w:pPr>
    <w:rPr>
      <w:rFonts w:ascii="Arial" w:eastAsia="Arial" w:hAnsi="Arial" w:cs="Arial"/>
      <w:sz w:val="22"/>
      <w:szCs w:val="22"/>
    </w:rPr>
  </w:style>
  <w:style w:type="paragraph" w:styleId="NormalWeb">
    <w:name w:val="Normal (Web)"/>
    <w:basedOn w:val="Normal"/>
    <w:uiPriority w:val="99"/>
    <w:semiHidden/>
    <w:unhideWhenUsed/>
    <w:rsid w:val="002301D8"/>
    <w:pPr>
      <w:spacing w:before="100" w:beforeAutospacing="1" w:after="100" w:afterAutospacing="1"/>
    </w:pPr>
    <w:rPr>
      <w:rFonts w:ascii="Times New Roman" w:eastAsia="Times New Roman" w:hAnsi="Times New Roman" w:cs="Times New Roman"/>
      <w:lang w:val="es-US" w:eastAsia="es-US"/>
    </w:rPr>
  </w:style>
  <w:style w:type="character" w:styleId="Hipervnculo">
    <w:name w:val="Hyperlink"/>
    <w:basedOn w:val="Fuentedeprrafopredeter"/>
    <w:uiPriority w:val="99"/>
    <w:semiHidden/>
    <w:unhideWhenUsed/>
    <w:rsid w:val="005D0EB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846510">
      <w:bodyDiv w:val="1"/>
      <w:marLeft w:val="0"/>
      <w:marRight w:val="0"/>
      <w:marTop w:val="0"/>
      <w:marBottom w:val="0"/>
      <w:divBdr>
        <w:top w:val="none" w:sz="0" w:space="0" w:color="auto"/>
        <w:left w:val="none" w:sz="0" w:space="0" w:color="auto"/>
        <w:bottom w:val="none" w:sz="0" w:space="0" w:color="auto"/>
        <w:right w:val="none" w:sz="0" w:space="0" w:color="auto"/>
      </w:divBdr>
    </w:div>
    <w:div w:id="1829787757">
      <w:bodyDiv w:val="1"/>
      <w:marLeft w:val="0"/>
      <w:marRight w:val="0"/>
      <w:marTop w:val="0"/>
      <w:marBottom w:val="0"/>
      <w:divBdr>
        <w:top w:val="none" w:sz="0" w:space="0" w:color="auto"/>
        <w:left w:val="none" w:sz="0" w:space="0" w:color="auto"/>
        <w:bottom w:val="none" w:sz="0" w:space="0" w:color="auto"/>
        <w:right w:val="none" w:sz="0" w:space="0" w:color="auto"/>
      </w:divBdr>
    </w:div>
    <w:div w:id="202829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C84C76-1BA0-45B3-A9ED-7F0452340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6</Pages>
  <Words>2131</Words>
  <Characters>11767</Characters>
  <Application>Microsoft Office Word</Application>
  <DocSecurity>0</DocSecurity>
  <Lines>213</Lines>
  <Paragraphs>72</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13826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Nicolas</dc:creator>
  <cp:lastModifiedBy>Maria Alejandra Stoyanchaqui</cp:lastModifiedBy>
  <cp:revision>2</cp:revision>
  <cp:lastPrinted>2021-02-26T17:54:00Z</cp:lastPrinted>
  <dcterms:created xsi:type="dcterms:W3CDTF">2021-12-01T19:11:00Z</dcterms:created>
  <dcterms:modified xsi:type="dcterms:W3CDTF">2021-12-01T19:11:00Z</dcterms:modified>
</cp:coreProperties>
</file>