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3B95" w:rsidRDefault="00F03B95" w:rsidP="00F03B95">
      <w:pPr>
        <w:jc w:val="center"/>
        <w:rPr>
          <w:b/>
        </w:rPr>
      </w:pPr>
      <w:bookmarkStart w:id="0" w:name="PLey"/>
      <w:bookmarkEnd w:id="0"/>
      <w:r>
        <w:rPr>
          <w:b/>
        </w:rPr>
        <w:t>PROYECTO DE LEY</w:t>
      </w:r>
    </w:p>
    <w:p w:rsidR="00FE0D25" w:rsidRDefault="00FE0D25" w:rsidP="00F03B95">
      <w:pPr>
        <w:jc w:val="center"/>
        <w:rPr>
          <w:b/>
        </w:rPr>
      </w:pPr>
      <w:r>
        <w:rPr>
          <w:b/>
        </w:rPr>
        <w:t>MODIFICACIÓN AL CÓDIGO ELECTORAL</w:t>
      </w:r>
      <w:r w:rsidR="0098464D">
        <w:rPr>
          <w:b/>
        </w:rPr>
        <w:t xml:space="preserve"> DE LA CIUDAD</w:t>
      </w:r>
    </w:p>
    <w:p w:rsidR="00FE0D25" w:rsidRDefault="00FE0D25" w:rsidP="00F03B95">
      <w:pPr>
        <w:jc w:val="center"/>
        <w:rPr>
          <w:b/>
        </w:rPr>
      </w:pPr>
      <w:r>
        <w:rPr>
          <w:b/>
        </w:rPr>
        <w:t>"FICHA LIMPIA"</w:t>
      </w:r>
    </w:p>
    <w:p w:rsidR="00F03B95" w:rsidRDefault="00F03B95" w:rsidP="00F03B95"/>
    <w:p w:rsidR="00F03B95" w:rsidRDefault="00F03B95" w:rsidP="00F03B95">
      <w:r>
        <w:rPr>
          <w:b/>
        </w:rPr>
        <w:t>Artículo 1°.-</w:t>
      </w:r>
      <w:r>
        <w:t xml:space="preserve"> Modifíquese el artículo 77 del Anexo I del Código Electoral - Ley N° 6031, el que quedará redactado de la siguiente forma:  </w:t>
      </w:r>
    </w:p>
    <w:p w:rsidR="00F03B95" w:rsidRDefault="00F03B95" w:rsidP="00F03B95"/>
    <w:p w:rsidR="00F03B95" w:rsidRDefault="00F03B95" w:rsidP="00F03B95">
      <w:pPr>
        <w:pBdr>
          <w:top w:val="nil"/>
          <w:left w:val="nil"/>
          <w:bottom w:val="nil"/>
          <w:right w:val="nil"/>
          <w:between w:val="nil"/>
        </w:pBdr>
        <w:ind w:left="567" w:right="567"/>
        <w:rPr>
          <w:color w:val="000000"/>
        </w:rPr>
      </w:pPr>
      <w:r>
        <w:rPr>
          <w:color w:val="000000"/>
        </w:rPr>
        <w:t xml:space="preserve">Artículo 77.- Precandidaturas. La designación de los/as precandidatos/as es exclusiva de las agrupaciones políticas, quienes deben respetar las respectivas cartas orgánicas y los recaudos establecidos en la Constitución de la Ciudad de Buenos Aires, en el presente Código y en las demás normas electorales vigentes. </w:t>
      </w:r>
    </w:p>
    <w:p w:rsidR="00F03B95" w:rsidRDefault="00F03B95" w:rsidP="00F03B95">
      <w:pPr>
        <w:pBdr>
          <w:top w:val="nil"/>
          <w:left w:val="nil"/>
          <w:bottom w:val="nil"/>
          <w:right w:val="nil"/>
          <w:between w:val="nil"/>
        </w:pBdr>
        <w:ind w:left="567" w:right="567"/>
        <w:rPr>
          <w:color w:val="000000"/>
        </w:rPr>
      </w:pPr>
      <w:r>
        <w:rPr>
          <w:color w:val="000000"/>
        </w:rPr>
        <w:t>Son causales de inelegibilidad y, por tanto, no pueden ser precandidatos/as en elecciones primarias ni candidatos en elecciones generales a cargos públicos electivos de la Ciudad Autónoma de Buenos Aires aquellos/as que se encuentren con procesamiento firme por la comisión de delito de lesa humanidad o por haber actuado en contra de las instituciones democráticas en los términos del artículo 36 de la Constitución Nacional y los condenados por:</w:t>
      </w:r>
    </w:p>
    <w:p w:rsidR="00F03B95" w:rsidRDefault="00F03B95" w:rsidP="00F03B95">
      <w:pPr>
        <w:pBdr>
          <w:top w:val="nil"/>
          <w:left w:val="nil"/>
          <w:bottom w:val="nil"/>
          <w:right w:val="nil"/>
          <w:between w:val="nil"/>
        </w:pBdr>
        <w:ind w:left="567" w:right="567"/>
        <w:rPr>
          <w:color w:val="000000"/>
        </w:rPr>
      </w:pPr>
    </w:p>
    <w:p w:rsidR="00F03B95" w:rsidRDefault="00F03B95" w:rsidP="00F03B95">
      <w:pPr>
        <w:numPr>
          <w:ilvl w:val="0"/>
          <w:numId w:val="3"/>
        </w:numPr>
        <w:pBdr>
          <w:top w:val="nil"/>
          <w:left w:val="nil"/>
          <w:bottom w:val="nil"/>
          <w:right w:val="nil"/>
          <w:between w:val="nil"/>
        </w:pBdr>
        <w:ind w:left="1247" w:right="567"/>
        <w:rPr>
          <w:b/>
          <w:color w:val="000000"/>
        </w:rPr>
      </w:pPr>
      <w:r>
        <w:rPr>
          <w:b/>
          <w:color w:val="000000"/>
        </w:rPr>
        <w:t xml:space="preserve">Delitos contra la integridad sexual comprendidos en los artículos 119°, 120°, 124° a 128°, 130°, 131° y 133° del Título III del Libro Segundo del Código Penal; </w:t>
      </w:r>
    </w:p>
    <w:p w:rsidR="00F03B95" w:rsidRDefault="00F03B95" w:rsidP="00F03B95">
      <w:pPr>
        <w:numPr>
          <w:ilvl w:val="0"/>
          <w:numId w:val="3"/>
        </w:numPr>
        <w:pBdr>
          <w:top w:val="nil"/>
          <w:left w:val="nil"/>
          <w:bottom w:val="nil"/>
          <w:right w:val="nil"/>
          <w:between w:val="nil"/>
        </w:pBdr>
        <w:ind w:left="1247" w:right="567"/>
        <w:rPr>
          <w:b/>
          <w:color w:val="000000"/>
        </w:rPr>
      </w:pPr>
      <w:bookmarkStart w:id="1" w:name="_heading=h.gjdgxs" w:colFirst="0" w:colLast="0"/>
      <w:bookmarkEnd w:id="1"/>
      <w:r>
        <w:rPr>
          <w:b/>
          <w:color w:val="000000"/>
        </w:rPr>
        <w:t>Delitos contra la administración pública comprendidos en los capítulos VI, VII, VIII, IX, IX bis y XIII del Título XI del Libro Segundo del Código Penal;</w:t>
      </w:r>
    </w:p>
    <w:p w:rsidR="00F03B95" w:rsidRDefault="00F03B95" w:rsidP="00F03B95">
      <w:pPr>
        <w:numPr>
          <w:ilvl w:val="0"/>
          <w:numId w:val="3"/>
        </w:numPr>
        <w:pBdr>
          <w:top w:val="nil"/>
          <w:left w:val="nil"/>
          <w:bottom w:val="nil"/>
          <w:right w:val="nil"/>
          <w:between w:val="nil"/>
        </w:pBdr>
        <w:ind w:left="1247" w:right="567"/>
        <w:rPr>
          <w:b/>
          <w:color w:val="000000"/>
        </w:rPr>
      </w:pPr>
      <w:r>
        <w:rPr>
          <w:b/>
          <w:color w:val="000000"/>
        </w:rPr>
        <w:t xml:space="preserve">El delito de fraude en perjuicio de la administración pública contemplado en el artículo 174 inc. 5 del Código Penal; </w:t>
      </w:r>
    </w:p>
    <w:p w:rsidR="00F03B95" w:rsidRDefault="00F03B95" w:rsidP="00F03B95">
      <w:pPr>
        <w:ind w:left="1247" w:right="567"/>
        <w:rPr>
          <w:b/>
        </w:rPr>
      </w:pPr>
    </w:p>
    <w:p w:rsidR="00F03B95" w:rsidRDefault="00F03B95" w:rsidP="00F03B95">
      <w:pPr>
        <w:ind w:left="1247" w:right="567"/>
        <w:rPr>
          <w:b/>
        </w:rPr>
      </w:pPr>
      <w:r>
        <w:rPr>
          <w:b/>
        </w:rPr>
        <w:t>El supuesto previsto en el presente artículo se extenderá desde que exista sentencia condenatoria en segunda instancia del proceso hasta su eventual revocación posterior, o bien hasta el cumplimiento de la pena correspondiente.</w:t>
      </w:r>
    </w:p>
    <w:p w:rsidR="00F03B95" w:rsidRDefault="00F03B95" w:rsidP="00F03B95">
      <w:pPr>
        <w:ind w:left="567" w:right="567"/>
      </w:pPr>
    </w:p>
    <w:p w:rsidR="00F03B95" w:rsidRDefault="00F03B95" w:rsidP="00F03B95">
      <w:pPr>
        <w:ind w:left="567" w:right="567"/>
        <w:rPr>
          <w:b/>
          <w:color w:val="000000"/>
        </w:rPr>
      </w:pPr>
      <w:r>
        <w:t>Los/as precandidatos/as que participen en las elecciones primarias pueden hacerlo en una (1) sola agrupación política y para una (1) sola categoría de cargos electivos. Los/as precandidatos/as que hayan participado en las elecciones primarias por una agrupación política, no pueden intervenir como candidatos/as de otra agrupación política en la elección general.</w:t>
      </w:r>
    </w:p>
    <w:p w:rsidR="00F03B95" w:rsidRDefault="00F03B95" w:rsidP="00F03B95">
      <w:pPr>
        <w:rPr>
          <w:b/>
          <w:color w:val="000000"/>
        </w:rPr>
      </w:pPr>
    </w:p>
    <w:p w:rsidR="00F03B95" w:rsidRDefault="00F03B95" w:rsidP="00F03B95">
      <w:r>
        <w:rPr>
          <w:b/>
        </w:rPr>
        <w:t>Artículo</w:t>
      </w:r>
      <w:r>
        <w:rPr>
          <w:b/>
          <w:color w:val="000000"/>
        </w:rPr>
        <w:t xml:space="preserve">. 2°.- </w:t>
      </w:r>
      <w:r>
        <w:rPr>
          <w:color w:val="000000"/>
        </w:rPr>
        <w:t xml:space="preserve">Modifícase el artículo 80 del Anexo I del Código Electoral - Ley N° 6031, el que quedará redactado </w:t>
      </w:r>
      <w:r>
        <w:t xml:space="preserve">de la siguiente forma:  </w:t>
      </w:r>
    </w:p>
    <w:p w:rsidR="00F03B95" w:rsidRDefault="00F03B95" w:rsidP="00F03B95"/>
    <w:p w:rsidR="00F03B95" w:rsidRDefault="00F03B95" w:rsidP="00F03B95">
      <w:pPr>
        <w:shd w:val="clear" w:color="auto" w:fill="FFFFFF"/>
        <w:ind w:left="567" w:right="567"/>
        <w:rPr>
          <w:color w:val="000000"/>
        </w:rPr>
      </w:pPr>
      <w:r>
        <w:rPr>
          <w:color w:val="000000"/>
        </w:rPr>
        <w:t>Artículo 80.- Pedido de reconocimiento y oficialización de listas de precandidatos/as. Requisitos. Para obtener el reconocimiento, las listas de precandidatos/as intervinientes deben registrarse ante la Junta Electoral de la Agrupación Política, no menos de cincuenta (50) días corridos antes de las elecciones primarias. Para ser oficializadas, las listas de precandidatos/as deberán incluir:</w:t>
      </w:r>
    </w:p>
    <w:p w:rsidR="00F03B95" w:rsidRDefault="00F03B95" w:rsidP="00F03B95">
      <w:pPr>
        <w:shd w:val="clear" w:color="auto" w:fill="FFFFFF"/>
        <w:ind w:left="1247" w:right="567"/>
      </w:pPr>
    </w:p>
    <w:p w:rsidR="00F03B95" w:rsidRDefault="00F03B95" w:rsidP="00F03B95">
      <w:pPr>
        <w:numPr>
          <w:ilvl w:val="0"/>
          <w:numId w:val="1"/>
        </w:numPr>
        <w:shd w:val="clear" w:color="auto" w:fill="FFFFFF"/>
        <w:ind w:left="1247" w:right="567"/>
      </w:pPr>
      <w:r>
        <w:t>Nómina de precandidato/a o precandidatos/as igual al número de cargos titulares y suplentes a seleccionar ordenados numéricamente, donde conste apellido, nombre, último domicilio electoral, número de Documento Nacional de Identidad y género. Deberá respetarse el principio de paridad y alternancia de género en la conformación de listas de precandidatos/as para Diputados/as y Miembros de Junta Comunal de forma tal de no incluir a dos (2) personas del mismo género en orden consecutivo.</w:t>
      </w:r>
    </w:p>
    <w:p w:rsidR="00F03B95" w:rsidRDefault="00F03B95" w:rsidP="00F03B95">
      <w:pPr>
        <w:numPr>
          <w:ilvl w:val="0"/>
          <w:numId w:val="1"/>
        </w:numPr>
        <w:shd w:val="clear" w:color="auto" w:fill="FFFFFF"/>
        <w:ind w:left="1247" w:right="567"/>
      </w:pPr>
      <w:r>
        <w:lastRenderedPageBreak/>
        <w:t>Nombre de la agrupación política, identificación numérica y denominación de la lista, la que no podrá contener el nombre de personas.</w:t>
      </w:r>
    </w:p>
    <w:p w:rsidR="00F03B95" w:rsidRDefault="00F03B95" w:rsidP="00F03B95">
      <w:pPr>
        <w:numPr>
          <w:ilvl w:val="0"/>
          <w:numId w:val="1"/>
        </w:numPr>
        <w:shd w:val="clear" w:color="auto" w:fill="FFFFFF"/>
        <w:ind w:left="1247" w:right="567"/>
      </w:pPr>
      <w:r>
        <w:t>Constancias de aceptación de la postulación, conforme al texto que apruebe el Tribunal Electoral, con copia del Documento Nacional de Identidad donde conste fotografía, datos personales y domicilio de los/as precandidatos/as.</w:t>
      </w:r>
    </w:p>
    <w:p w:rsidR="00F03B95" w:rsidRDefault="00F03B95" w:rsidP="00F03B95">
      <w:pPr>
        <w:numPr>
          <w:ilvl w:val="0"/>
          <w:numId w:val="1"/>
        </w:numPr>
        <w:shd w:val="clear" w:color="auto" w:fill="FFFFFF"/>
        <w:ind w:left="1247" w:right="567"/>
      </w:pPr>
      <w:r>
        <w:t>Declaración Jurada de cada uno/a de los/as precandidatos/as, que acredite el cumplimiento de los requisitos constitucionales y legales pertinentes.</w:t>
      </w:r>
    </w:p>
    <w:p w:rsidR="00F03B95" w:rsidRDefault="00F03B95" w:rsidP="00F03B95">
      <w:pPr>
        <w:numPr>
          <w:ilvl w:val="0"/>
          <w:numId w:val="1"/>
        </w:numPr>
        <w:shd w:val="clear" w:color="auto" w:fill="FFFFFF"/>
        <w:ind w:left="1247" w:right="567"/>
      </w:pPr>
      <w:r>
        <w:t>Acreditación de la residencia exigida en los casos que corresponda, la cual podrá ser acreditada por cualquier medio de prueba, excepto la testimonial, siempre que figuren inscriptos en el registro de electores/as del distrito.</w:t>
      </w:r>
    </w:p>
    <w:p w:rsidR="00F03B95" w:rsidRDefault="00F03B95" w:rsidP="00F03B95">
      <w:pPr>
        <w:numPr>
          <w:ilvl w:val="0"/>
          <w:numId w:val="1"/>
        </w:numPr>
        <w:shd w:val="clear" w:color="auto" w:fill="FFFFFF"/>
        <w:ind w:left="1247" w:right="567"/>
      </w:pPr>
      <w:r>
        <w:t>Designación de apoderados/as de lista y un/a (1) responsable económico financiero de lista con indicación de nombre, apellido, Documento Nacional de Identidad, teléfono, domicilio constituido y correo electrónico de cada uno/a de ellos/as.</w:t>
      </w:r>
    </w:p>
    <w:p w:rsidR="00F03B95" w:rsidRDefault="00F03B95" w:rsidP="00F03B95">
      <w:pPr>
        <w:numPr>
          <w:ilvl w:val="0"/>
          <w:numId w:val="1"/>
        </w:numPr>
        <w:shd w:val="clear" w:color="auto" w:fill="FFFFFF"/>
        <w:ind w:left="1247" w:right="567"/>
      </w:pPr>
      <w:r>
        <w:t>Las adhesiones que avalen a listas de precandidatos/as a Jefe/a de Gobierno, Diputados/as y Miembros de las juntas comunales deberán estar certificadas de acuerdo con lo establecido en el artículo 76 del presente Código y contener: nombre y apellido, número de Documento Nacional de Identidad, domicilio, correo electrónico, y firma del adherente, así como también la denominación de la lista a la que adhiere.</w:t>
      </w:r>
    </w:p>
    <w:p w:rsidR="00F03B95" w:rsidRDefault="00F03B95" w:rsidP="00F03B95">
      <w:pPr>
        <w:numPr>
          <w:ilvl w:val="0"/>
          <w:numId w:val="1"/>
        </w:numPr>
        <w:shd w:val="clear" w:color="auto" w:fill="FFFFFF"/>
        <w:ind w:left="1247" w:right="567"/>
      </w:pPr>
      <w:r>
        <w:t>Plataforma programática y declaración del medio por el cual se difundirá. Toda la documentación detallada deberá ser presentada con un respaldo en soporte digital ante la Junta Electoral de la Agrupación Política.</w:t>
      </w:r>
    </w:p>
    <w:p w:rsidR="00F03B95" w:rsidRDefault="00F03B95" w:rsidP="00F03B95">
      <w:pPr>
        <w:numPr>
          <w:ilvl w:val="0"/>
          <w:numId w:val="1"/>
        </w:numPr>
        <w:shd w:val="clear" w:color="auto" w:fill="FFFFFF"/>
        <w:ind w:left="1247" w:right="567"/>
        <w:rPr>
          <w:b/>
        </w:rPr>
      </w:pPr>
      <w:r>
        <w:rPr>
          <w:b/>
        </w:rPr>
        <w:t>Certificado de Antecedentes Penales de los/as precandidatos/as emitido por el Registro Nacional de Reincidencia.</w:t>
      </w:r>
    </w:p>
    <w:p w:rsidR="00F03B95" w:rsidRDefault="00F03B95" w:rsidP="00F03B95">
      <w:pPr>
        <w:shd w:val="clear" w:color="auto" w:fill="FFFFFF"/>
        <w:ind w:left="567" w:right="567"/>
      </w:pPr>
    </w:p>
    <w:p w:rsidR="00F03B95" w:rsidRDefault="00F03B95" w:rsidP="00F03B95">
      <w:pPr>
        <w:shd w:val="clear" w:color="auto" w:fill="FFFFFF"/>
        <w:ind w:left="567" w:right="567"/>
      </w:pPr>
      <w:r>
        <w:t>Dentro de las veinticuatro (24) horas de vencido el plazo para la presentación de listas, deberán presentarse las fotos de los/as precandidatos/as ante la Junta Electoral de la Agrupación Política, conforme lo establezca la reglamentación pertinente.</w:t>
      </w:r>
    </w:p>
    <w:p w:rsidR="00F03B95" w:rsidRDefault="00F03B95" w:rsidP="00F03B95">
      <w:pPr>
        <w:rPr>
          <w:b/>
        </w:rPr>
      </w:pPr>
    </w:p>
    <w:p w:rsidR="00F03B95" w:rsidRDefault="00F03B95" w:rsidP="00F03B95">
      <w:r>
        <w:rPr>
          <w:b/>
        </w:rPr>
        <w:t xml:space="preserve">Artículo. 3°.- </w:t>
      </w:r>
      <w:r>
        <w:t xml:space="preserve">Modificase el artículo 103 del Anexo I del Código Electoral - Ley N° 6031, el que quedará redactado de la siguiente forma:  </w:t>
      </w:r>
    </w:p>
    <w:p w:rsidR="00F03B95" w:rsidRDefault="00F03B95" w:rsidP="00F03B95"/>
    <w:p w:rsidR="00F03B95" w:rsidRDefault="00F03B95" w:rsidP="00F03B95">
      <w:pPr>
        <w:shd w:val="clear" w:color="auto" w:fill="FFFFFF"/>
      </w:pPr>
      <w:r>
        <w:t>Artículo 103.- Presentación del pedido de oficialización de listas. Junto con el pedido de oficialización de listas, al menos de cincuenta (50) días corridos antes de las elecciones generales, las agrupaciones políticas presentarán ante el Tribunal Electoral, con respaldo en soporte digital, lo siguiente:</w:t>
      </w:r>
    </w:p>
    <w:p w:rsidR="00F03B95" w:rsidRDefault="00F03B95" w:rsidP="00F03B95">
      <w:pPr>
        <w:shd w:val="clear" w:color="auto" w:fill="FFFFFF"/>
      </w:pPr>
    </w:p>
    <w:p w:rsidR="00F03B95" w:rsidRDefault="00F03B95" w:rsidP="00F03B95">
      <w:pPr>
        <w:numPr>
          <w:ilvl w:val="0"/>
          <w:numId w:val="2"/>
        </w:numPr>
        <w:shd w:val="clear" w:color="auto" w:fill="FFFFFF"/>
        <w:ind w:left="1247"/>
      </w:pPr>
      <w:r>
        <w:t>Una nómina de candidatos/as igual al número de cargos titulares y suplentes a seleccionar ordenados numéricamente donde conste apellido, nombre, número de Documento Nacional de Identidad, último domicilio electoral y género.</w:t>
      </w:r>
    </w:p>
    <w:p w:rsidR="00F03B95" w:rsidRDefault="00F03B95" w:rsidP="00F03B95">
      <w:pPr>
        <w:numPr>
          <w:ilvl w:val="0"/>
          <w:numId w:val="2"/>
        </w:numPr>
        <w:shd w:val="clear" w:color="auto" w:fill="FFFFFF"/>
        <w:ind w:left="1247"/>
      </w:pPr>
      <w:r>
        <w:t>Constancias de aceptación de la postulación, de acuerdo al texto que apruebe el Tribunal Electoral, con copia del Documento Nacional de Identidad donde consten fotografía, datos personales y domicilio de los/as candidatos/as.</w:t>
      </w:r>
    </w:p>
    <w:p w:rsidR="00F03B95" w:rsidRDefault="00F03B95" w:rsidP="00F03B95">
      <w:pPr>
        <w:numPr>
          <w:ilvl w:val="0"/>
          <w:numId w:val="2"/>
        </w:numPr>
        <w:shd w:val="clear" w:color="auto" w:fill="FFFFFF"/>
        <w:ind w:left="1247"/>
      </w:pPr>
      <w:r>
        <w:t>Declaración jurada de cada uno de los/as candidatos/as que acredite el cumplimiento de los requisitos constitucionales y legales pertinentes.</w:t>
      </w:r>
    </w:p>
    <w:p w:rsidR="00F03B95" w:rsidRDefault="00F03B95" w:rsidP="00F03B95">
      <w:pPr>
        <w:numPr>
          <w:ilvl w:val="0"/>
          <w:numId w:val="2"/>
        </w:numPr>
        <w:shd w:val="clear" w:color="auto" w:fill="FFFFFF"/>
        <w:ind w:left="1247"/>
      </w:pPr>
      <w:r>
        <w:t>Declaración Jurada Patrimonial de los/as candidatos/as Titulares de la lista, de acuerdo con el detalle establecido en el artículo 104.</w:t>
      </w:r>
    </w:p>
    <w:p w:rsidR="00F03B95" w:rsidRDefault="00F03B95" w:rsidP="00F03B95">
      <w:pPr>
        <w:numPr>
          <w:ilvl w:val="0"/>
          <w:numId w:val="2"/>
        </w:numPr>
        <w:shd w:val="clear" w:color="auto" w:fill="FFFFFF"/>
        <w:ind w:left="1247"/>
      </w:pPr>
      <w:r>
        <w:lastRenderedPageBreak/>
        <w:t>Constancia pertinente que acredite la residencia exigida de los/as candidatos/as, en los casos en que corresponda, la cual podrá ser acreditada por cualquier medio de prueba, excepto la testimonial, siempre que figuren inscriptos en el registro de electores del distrito.</w:t>
      </w:r>
    </w:p>
    <w:p w:rsidR="00F03B95" w:rsidRDefault="00F03B95" w:rsidP="00F03B95">
      <w:pPr>
        <w:numPr>
          <w:ilvl w:val="0"/>
          <w:numId w:val="2"/>
        </w:numPr>
        <w:shd w:val="clear" w:color="auto" w:fill="FFFFFF"/>
        <w:ind w:left="1247"/>
        <w:rPr>
          <w:color w:val="000000"/>
        </w:rPr>
      </w:pPr>
      <w:r>
        <w:t>Designación de apoderado/a o apoderados/as de lista, consignando Documento Nacional de Identidad, teléfono, domicilio constituido y correo electrónico.</w:t>
      </w:r>
    </w:p>
    <w:p w:rsidR="00F03B95" w:rsidRDefault="00F03B95" w:rsidP="00F03B95">
      <w:pPr>
        <w:numPr>
          <w:ilvl w:val="0"/>
          <w:numId w:val="2"/>
        </w:numPr>
        <w:shd w:val="clear" w:color="auto" w:fill="FFFFFF"/>
        <w:ind w:left="1247"/>
        <w:rPr>
          <w:b/>
        </w:rPr>
      </w:pPr>
      <w:r>
        <w:rPr>
          <w:b/>
          <w:color w:val="000000"/>
        </w:rPr>
        <w:t>Certificado de Antecedentes Penales de los/as precandidatos/as emitido por el Registro Nacional de Reincidencia.</w:t>
      </w:r>
    </w:p>
    <w:p w:rsidR="00F03B95" w:rsidRDefault="00F03B95" w:rsidP="00F03B95">
      <w:pPr>
        <w:shd w:val="clear" w:color="auto" w:fill="FFFFFF"/>
        <w:ind w:left="720"/>
      </w:pPr>
    </w:p>
    <w:p w:rsidR="00F03B95" w:rsidRDefault="00F03B95" w:rsidP="00F03B95">
      <w:pPr>
        <w:shd w:val="clear" w:color="auto" w:fill="FFFFFF"/>
      </w:pPr>
      <w:r>
        <w:t xml:space="preserve">El Tribunal Electoral controla de oficio el cumplimiento de los requisitos previo a la oficialización de cada lista de candidatos/as. No será oficializada ninguna lista que no cumpla estos requisitos, ni que incluya candidatos/as que no hubieran resultado electos/as en las elecciones primarias por la misma agrupación política y por la misma categoría por la que se presentan, excepto en el caso de la candidatura de Vicejefe/a de Gobierno, de acuerdo con lo establecido en el artículo 99 y en el caso de renuncia, fallecimiento o incapacidad conforme lo dispuesto en el presente Código. </w:t>
      </w:r>
    </w:p>
    <w:p w:rsidR="00F03B95" w:rsidRDefault="00F03B95" w:rsidP="00F03B95">
      <w:pPr>
        <w:shd w:val="clear" w:color="auto" w:fill="FFFFFF"/>
      </w:pPr>
      <w:r>
        <w:t>Si la omisión en el pedido de oficialización refiere a la Declaración Jurada Patrimonial prevista en el inciso 4) del presente artículo o al Certificado de Antecedentes Penales previsto en el inciso 7), la lista será oficializada reemplazando al/la candidato/a a quien correspondiera la Declaración Jurada omitida o al Certificado de Antecedentes Penales omitido, mediante los mecanismos previstos en los artículos 107, 108 o 109.</w:t>
      </w:r>
    </w:p>
    <w:p w:rsidR="00F03B95" w:rsidRDefault="00F03B95" w:rsidP="00F03B95">
      <w:pPr>
        <w:rPr>
          <w:b/>
        </w:rPr>
      </w:pPr>
      <w:r>
        <w:rPr>
          <w:b/>
        </w:rPr>
        <w:t>De advertirse, con posterioridad a las elecciones, que algún/a candidato/a electo/a registra antecedentes por los delitos enumerados en el artículo 77, la situación será inmediatamente comunicada a la Legislatura de la Ciudad Autónoma de Buenos Aires en los términos del artículo 92 de la Constitución de la Ciudad de Buenos Aires o el artículo 24 de la Ley N° 1.777 (texto ordenado Ley N° 6.017), según corresponda</w:t>
      </w:r>
      <w:r>
        <w:t>.</w:t>
      </w:r>
    </w:p>
    <w:p w:rsidR="00F03B95" w:rsidRDefault="00F03B95" w:rsidP="00F03B95">
      <w:pPr>
        <w:rPr>
          <w:b/>
        </w:rPr>
      </w:pPr>
    </w:p>
    <w:p w:rsidR="00F03B95" w:rsidRDefault="00F03B95" w:rsidP="00F03B95">
      <w:r>
        <w:t>Art. 4°.-</w:t>
      </w:r>
      <w:r>
        <w:rPr>
          <w:b/>
        </w:rPr>
        <w:t xml:space="preserve"> </w:t>
      </w:r>
      <w:r>
        <w:t>Comuníquese, etc.</w:t>
      </w:r>
    </w:p>
    <w:p w:rsidR="00F03B95" w:rsidRDefault="00F03B95" w:rsidP="00F03B95"/>
    <w:p w:rsidR="00F03B95" w:rsidRDefault="00F03B95" w:rsidP="00F03B95"/>
    <w:p w:rsidR="00F03B95" w:rsidRDefault="00F03B95" w:rsidP="00F03B95"/>
    <w:p w:rsidR="00F03B95" w:rsidRDefault="00F03B95" w:rsidP="00F03B95"/>
    <w:p w:rsidR="00F03B95" w:rsidRDefault="00F03B95" w:rsidP="00F03B95"/>
    <w:p w:rsidR="00F03B95" w:rsidRDefault="00F03B95" w:rsidP="00F03B95"/>
    <w:p w:rsidR="00F03B95" w:rsidRDefault="00F03B95" w:rsidP="00F03B95"/>
    <w:p w:rsidR="00F03B95" w:rsidRDefault="00F03B95" w:rsidP="00F03B95"/>
    <w:p w:rsidR="00F03B95" w:rsidRDefault="00F03B95" w:rsidP="00F03B95"/>
    <w:p w:rsidR="00F03B95" w:rsidRDefault="00F03B95" w:rsidP="00F03B95"/>
    <w:p w:rsidR="00F03B95" w:rsidRDefault="00F03B95" w:rsidP="00F03B95"/>
    <w:p w:rsidR="00F03B95" w:rsidRDefault="00F03B95" w:rsidP="00F03B95"/>
    <w:p w:rsidR="00F03B95" w:rsidRDefault="00F03B95" w:rsidP="00F03B95"/>
    <w:p w:rsidR="00F03B95" w:rsidRDefault="00F03B95" w:rsidP="00F03B95"/>
    <w:p w:rsidR="00F03B95" w:rsidRDefault="00F03B95" w:rsidP="00F03B95"/>
    <w:p w:rsidR="00F03B95" w:rsidRDefault="00F03B95" w:rsidP="00F03B95"/>
    <w:p w:rsidR="00F03B95" w:rsidRDefault="00F03B95" w:rsidP="00F03B95"/>
    <w:p w:rsidR="00F03B95" w:rsidRDefault="00F03B95" w:rsidP="00F03B95"/>
    <w:p w:rsidR="00F03B95" w:rsidRDefault="00F03B95" w:rsidP="00F03B95"/>
    <w:p w:rsidR="00F03B95" w:rsidRDefault="00F03B95" w:rsidP="00F03B95"/>
    <w:p w:rsidR="00F03B95" w:rsidRDefault="00F03B95" w:rsidP="00F03B95"/>
    <w:p w:rsidR="00F03B95" w:rsidRDefault="00F03B95" w:rsidP="00F03B95"/>
    <w:p w:rsidR="00F03B95" w:rsidRDefault="00F03B95" w:rsidP="00F03B95"/>
    <w:p w:rsidR="00F03B95" w:rsidRDefault="00F03B95" w:rsidP="00F03B95"/>
    <w:p w:rsidR="00F03B95" w:rsidRDefault="00F03B95" w:rsidP="00F03B95"/>
    <w:p w:rsidR="00F03B95" w:rsidRDefault="00F03B95" w:rsidP="00F03B95"/>
    <w:p w:rsidR="00F03B95" w:rsidRDefault="00F03B95" w:rsidP="00F03B95"/>
    <w:p w:rsidR="00F03B95" w:rsidRDefault="00F03B95" w:rsidP="00F03B95"/>
    <w:p w:rsidR="00F03B95" w:rsidRDefault="00F03B95" w:rsidP="00F03B95">
      <w:pPr>
        <w:jc w:val="center"/>
        <w:rPr>
          <w:b/>
        </w:rPr>
      </w:pPr>
      <w:r>
        <w:rPr>
          <w:b/>
        </w:rPr>
        <w:lastRenderedPageBreak/>
        <w:t>FUNDAMENTOS</w:t>
      </w:r>
    </w:p>
    <w:p w:rsidR="00F03B95" w:rsidRDefault="00F03B95" w:rsidP="00F03B95"/>
    <w:p w:rsidR="00F03B95" w:rsidRDefault="00F03B95" w:rsidP="00F03B95"/>
    <w:p w:rsidR="00F03B95" w:rsidRDefault="00F03B95" w:rsidP="00F03B95">
      <w:r>
        <w:tab/>
        <w:t>El presente proyecto retoma el Despacho 401/20 de la comisión de Asuntos Constitucionales y la comisión de Descentralización y Participación Ciudadana de los expediente N° 1206-D-2019, proyecto de Ley del Diputado Blanchetiere y otros/otras, y el Expediente N° 2545-D-2020, proyecto de Ley del Diputado Suárez y otro,  referidos a la modificación del Anexo I de la Ley N° 6031, Código Electoral de la Ciudad Autónoma de Buenos Aires.</w:t>
      </w:r>
    </w:p>
    <w:p w:rsidR="00F03B95" w:rsidRDefault="00F03B95" w:rsidP="00F03B95">
      <w:r>
        <w:rPr>
          <w:b/>
        </w:rPr>
        <w:tab/>
      </w:r>
      <w:r>
        <w:t>El proyecto propone una modificación del artículo 77 del Código Electoral de la Ciudad Autónoma de Buenos Aires que establece requisitos que deberán cumplir las personas que sean nominadas como precandidatas por las agrupaciones políticas para las elecciones de cargos públicos electivos en la Ciudad.</w:t>
      </w:r>
    </w:p>
    <w:p w:rsidR="00F03B95" w:rsidRDefault="00F03B95" w:rsidP="00F03B95">
      <w:pPr>
        <w:rPr>
          <w:b/>
        </w:rPr>
      </w:pPr>
      <w:r>
        <w:tab/>
        <w:t xml:space="preserve">A los requisitos de elegibilidad ya vigentes, referidos a no contar con procesamiento firme por la comisión de delito de lesa humanidad o por haber actuado en contra de las instituciones democráticas en los términos del artículo 36 de la Constitución Nacional se incorporan no tener condena por delitos contra la integridad sexual, y delitos penales como cohecho y tráfico de influencias, malversación de caudales públicos, negociaciones incompatibles con el ejercicio de funciones públicas, enriquecimiento ilícito, encubrimiento y delito de fraude en perjuicio de la administración pública. </w:t>
      </w:r>
    </w:p>
    <w:p w:rsidR="00F03B95" w:rsidRDefault="00F03B95" w:rsidP="00F03B95">
      <w:r>
        <w:tab/>
        <w:t>La condición de inelegibilidad se extiende desde que exista sentencia condenatoria en segunda instancia del proceso hasta su eventual revocación posterior, o bien hasta el cumplimiento de la pena correspondiente.</w:t>
      </w:r>
    </w:p>
    <w:p w:rsidR="00F03B95" w:rsidRDefault="00F03B95" w:rsidP="00F03B95">
      <w:pPr>
        <w:rPr>
          <w:highlight w:val="white"/>
        </w:rPr>
      </w:pPr>
      <w:r>
        <w:tab/>
        <w:t>Cabe destacar que nuestro país suscribió a la Convención Interamericana contra la Corrupción y la Convención de las Naciones Unidas contra la Corrupción, propuestas que avanzan sobre la transparencia institucional, considerando a la corrupción como uno de los problemas más graves que enfrentan las sociedades modernas.</w:t>
      </w:r>
    </w:p>
    <w:p w:rsidR="00F03B95" w:rsidRDefault="00F03B95" w:rsidP="00F03B95">
      <w:r>
        <w:rPr>
          <w:highlight w:val="white"/>
        </w:rPr>
        <w:tab/>
        <w:t>La Convención Interamericana contra la Corrupción señala en su Preámbulo que</w:t>
      </w:r>
      <w:r>
        <w:rPr>
          <w:i/>
          <w:highlight w:val="white"/>
        </w:rPr>
        <w:t xml:space="preserve"> “la corrupción socava la legitimidad de las instituciones públicas, atenta contra la sociedad, el orden moral y la justicia, así como contra el desarrollo integral de los pueblos”.</w:t>
      </w:r>
    </w:p>
    <w:p w:rsidR="00F03B95" w:rsidRDefault="00F03B95" w:rsidP="00F03B95">
      <w:r>
        <w:tab/>
        <w:t>Los Estados parte tienen competencia para reglamentar el ejercicio de los derechos y oportunidades de elegir y ser electos en cargos públicos.</w:t>
      </w:r>
    </w:p>
    <w:p w:rsidR="00F03B95" w:rsidRDefault="00F03B95" w:rsidP="00F03B95">
      <w:pPr>
        <w:rPr>
          <w:color w:val="000000"/>
        </w:rPr>
      </w:pPr>
      <w:r>
        <w:tab/>
        <w:t xml:space="preserve">La propuesta que fundamenta este proyecto es conocida como ¨ficha limpia¨ y cuenta con varias experiencias internacionales de implementación en países como Brasil, </w:t>
      </w:r>
      <w:r>
        <w:rPr>
          <w:color w:val="000000"/>
        </w:rPr>
        <w:t>México, España, Uruguay, Chile, y ha encontrado resonancia en nuestro país con leyes que se han implementado en diversas provincias.</w:t>
      </w:r>
    </w:p>
    <w:p w:rsidR="00F03B95" w:rsidRDefault="00F03B95" w:rsidP="00F03B95">
      <w:pPr>
        <w:rPr>
          <w:color w:val="000000"/>
        </w:rPr>
      </w:pPr>
      <w:r>
        <w:rPr>
          <w:color w:val="000000"/>
        </w:rPr>
        <w:tab/>
        <w:t xml:space="preserve">Consideramos que </w:t>
      </w:r>
      <w:r>
        <w:t>resulta oportuno avanzar con una normativa integral que contemple la necesidad de erradicar conductas graves y reprochables, que deberían resultar absolutamente ajenas a los perfiles de quienes pretendan ser candidatos a ocupar cargos públicos.</w:t>
      </w:r>
    </w:p>
    <w:p w:rsidR="00F03B95" w:rsidRDefault="00F03B95" w:rsidP="00F03B95">
      <w:pPr>
        <w:pBdr>
          <w:top w:val="nil"/>
          <w:left w:val="nil"/>
          <w:bottom w:val="nil"/>
          <w:right w:val="nil"/>
          <w:between w:val="nil"/>
        </w:pBdr>
        <w:shd w:val="clear" w:color="auto" w:fill="FFFFFF"/>
        <w:rPr>
          <w:color w:val="000000"/>
        </w:rPr>
      </w:pPr>
      <w:r>
        <w:rPr>
          <w:color w:val="000000"/>
        </w:rPr>
        <w:tab/>
        <w:t xml:space="preserve">En el sistema judicial argentino ya sea por acción u omisión, </w:t>
      </w:r>
      <w:r>
        <w:t>sólo</w:t>
      </w:r>
      <w:r>
        <w:rPr>
          <w:color w:val="000000"/>
        </w:rPr>
        <w:t xml:space="preserve"> en muy pocas causas se alcanzan condenas, y en aquellos procesos que terminan con una sentencia condenatoria, duran en promedio más de una década.</w:t>
      </w:r>
    </w:p>
    <w:p w:rsidR="00F03B95" w:rsidRDefault="00F03B95" w:rsidP="00F03B95">
      <w:r>
        <w:tab/>
        <w:t>Las normas actuales establecen ciertas exclusiones y prohibiciones para sufragar y ser candidato, las cuales han sido modificadas a lo largo del tiempo.</w:t>
      </w:r>
    </w:p>
    <w:p w:rsidR="00F03B95" w:rsidRDefault="00F03B95" w:rsidP="00F03B95">
      <w:r>
        <w:tab/>
        <w:t>Con el fin de elevar el estándar ético que deben tener nuestros representantes, y proteger a las instituciones y sus ámbitos, ciertas conductas no pueden ser aceptadas en personas que tengan la intención de formar parte de la administración pública.</w:t>
      </w:r>
    </w:p>
    <w:p w:rsidR="00F03B95" w:rsidRDefault="00F03B95" w:rsidP="00F03B95">
      <w:pPr>
        <w:pBdr>
          <w:top w:val="nil"/>
          <w:left w:val="nil"/>
          <w:bottom w:val="nil"/>
          <w:right w:val="nil"/>
          <w:between w:val="nil"/>
        </w:pBdr>
        <w:shd w:val="clear" w:color="auto" w:fill="FFFFFF"/>
        <w:rPr>
          <w:color w:val="000000"/>
        </w:rPr>
      </w:pPr>
      <w:r>
        <w:rPr>
          <w:color w:val="000000"/>
        </w:rPr>
        <w:tab/>
        <w:t xml:space="preserve">El 25 de octubre de 2018 se sancionó la Ley N° 6031 que </w:t>
      </w:r>
      <w:r>
        <w:t>consagró el Código</w:t>
      </w:r>
      <w:r>
        <w:rPr>
          <w:color w:val="000000"/>
        </w:rPr>
        <w:t xml:space="preserve"> Electoral, materia prevista en la Constitución de la Ciudad Autónoma de Buenos Aires. Es en el Código Electoral donde corresponde inscribir esta limitación para ser precandidato, dado que el Título Sexto regula las Primarias Abiertas, Simultáneas y Obligatorias, y determina quiénes no pueden ser precandidatos.</w:t>
      </w:r>
    </w:p>
    <w:p w:rsidR="00F03B95" w:rsidRDefault="00F03B95" w:rsidP="00F03B95">
      <w:r>
        <w:tab/>
        <w:t xml:space="preserve">Es sin duda, en el ámbito del Derecho Electoral, donde se deben establecer las condiciones para favorecer el funcionamiento y la transparencia institucional de nuestro país, sin perjuicio de la aplicación del derecho penal en el ámbito correspondiente.   </w:t>
      </w:r>
    </w:p>
    <w:p w:rsidR="00F03B95" w:rsidRDefault="00F03B95" w:rsidP="00F03B95">
      <w:pPr>
        <w:pBdr>
          <w:top w:val="nil"/>
          <w:left w:val="nil"/>
          <w:bottom w:val="nil"/>
          <w:right w:val="nil"/>
          <w:between w:val="nil"/>
        </w:pBdr>
        <w:shd w:val="clear" w:color="auto" w:fill="FFFFFF"/>
        <w:rPr>
          <w:b/>
          <w:color w:val="000000"/>
        </w:rPr>
      </w:pPr>
      <w:r>
        <w:rPr>
          <w:color w:val="000000"/>
        </w:rPr>
        <w:lastRenderedPageBreak/>
        <w:tab/>
        <w:t xml:space="preserve">Es por todo lo expuesto que solicitamos se acompañe este proyecto. </w:t>
      </w:r>
    </w:p>
    <w:p w:rsidR="00F03B95" w:rsidRDefault="00F03B95" w:rsidP="00F03B95">
      <w:pPr>
        <w:rPr>
          <w:b/>
        </w:rPr>
      </w:pPr>
    </w:p>
    <w:p w:rsidR="00F03B95" w:rsidRDefault="00F03B95" w:rsidP="00F03B95"/>
    <w:p w:rsidR="00AF6352" w:rsidRPr="00F03B95" w:rsidRDefault="00AF6352" w:rsidP="00F03B95"/>
    <w:p w:rsidR="00B177FE" w:rsidRPr="00F03B95" w:rsidRDefault="00B177FE" w:rsidP="00081FFF">
      <w:pPr>
        <w:rPr>
          <w:lang w:val="es-MX"/>
        </w:rPr>
      </w:pPr>
    </w:p>
    <w:p w:rsidR="00B177FE" w:rsidRPr="00F03B95" w:rsidRDefault="00B177FE" w:rsidP="00081FFF">
      <w:pPr>
        <w:rPr>
          <w:lang w:val="es-MX"/>
        </w:rPr>
      </w:pPr>
    </w:p>
    <w:p w:rsidR="00AF6352" w:rsidRPr="00F03B95" w:rsidRDefault="00AF6352" w:rsidP="00081FFF">
      <w:pPr>
        <w:rPr>
          <w:lang w:val="es-MX"/>
        </w:rPr>
      </w:pPr>
    </w:p>
    <w:sectPr w:rsidR="00AF6352" w:rsidRPr="00F03B95"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68D4" w:rsidRDefault="00A868D4">
      <w:r>
        <w:separator/>
      </w:r>
    </w:p>
  </w:endnote>
  <w:endnote w:type="continuationSeparator" w:id="1">
    <w:p w:rsidR="00A868D4" w:rsidRDefault="00A868D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F03B95" w:rsidRDefault="00601A75">
    <w:pPr>
      <w:pStyle w:val="Piedepgina"/>
      <w:rPr>
        <w:color w:val="333333"/>
        <w:sz w:val="20"/>
      </w:rPr>
    </w:pPr>
    <w:bookmarkStart w:id="2" w:name="Proyecto"/>
    <w:bookmarkEnd w:id="2"/>
  </w:p>
  <w:p w:rsidR="00601A75" w:rsidRPr="00F03B95" w:rsidRDefault="00601A75">
    <w:pPr>
      <w:pStyle w:val="Piedepgina"/>
      <w:rPr>
        <w:color w:val="333333"/>
        <w:sz w:val="20"/>
      </w:rPr>
    </w:pPr>
    <w:r w:rsidRPr="00F03B95">
      <w:rPr>
        <w:color w:val="333333"/>
        <w:sz w:val="20"/>
      </w:rPr>
      <w:t xml:space="preserve">Último cambio: </w:t>
    </w:r>
    <w:fldSimple w:instr=" SAVEDATE  \* MERGEFORMAT ">
      <w:r w:rsidR="0061698B" w:rsidRPr="0061698B">
        <w:rPr>
          <w:noProof/>
          <w:color w:val="333333"/>
          <w:sz w:val="20"/>
        </w:rPr>
        <w:t>07/12/2021 17:37:00</w:t>
      </w:r>
    </w:fldSimple>
    <w:r w:rsidRPr="00F03B95">
      <w:rPr>
        <w:color w:val="333333"/>
        <w:sz w:val="20"/>
      </w:rPr>
      <w:t xml:space="preserve">  -  Cantidad de caracteres: </w:t>
    </w:r>
    <w:fldSimple w:instr=" NUMCHARS  \* MERGEFORMAT ">
      <w:r w:rsidR="0061698B" w:rsidRPr="0061698B">
        <w:rPr>
          <w:noProof/>
          <w:color w:val="333333"/>
          <w:sz w:val="20"/>
        </w:rPr>
        <w:t>10520</w:t>
      </w:r>
    </w:fldSimple>
    <w:r w:rsidRPr="00F03B95">
      <w:rPr>
        <w:color w:val="333333"/>
        <w:sz w:val="20"/>
      </w:rPr>
      <w:t xml:space="preserve"> - Cantidad de palabras: </w:t>
    </w:r>
    <w:fldSimple w:instr=" NUMWORDS  \* MERGEFORMAT ">
      <w:r w:rsidR="0061698B" w:rsidRPr="0061698B">
        <w:rPr>
          <w:noProof/>
          <w:color w:val="333333"/>
          <w:sz w:val="20"/>
        </w:rPr>
        <w:t>1856</w:t>
      </w:r>
    </w:fldSimple>
  </w:p>
  <w:p w:rsidR="00601A75" w:rsidRPr="00F03B95" w:rsidRDefault="00601A75" w:rsidP="00B05649">
    <w:pPr>
      <w:pStyle w:val="Piedepgina"/>
      <w:tabs>
        <w:tab w:val="left" w:pos="3565"/>
      </w:tabs>
      <w:rPr>
        <w:rStyle w:val="Nmerodepgina"/>
        <w:color w:val="333333"/>
      </w:rPr>
    </w:pPr>
    <w:r w:rsidRPr="00F03B95">
      <w:rPr>
        <w:color w:val="333333"/>
        <w:sz w:val="20"/>
      </w:rPr>
      <w:tab/>
      <w:t>Pág.</w:t>
    </w:r>
    <w:r w:rsidRPr="00F03B95">
      <w:rPr>
        <w:color w:val="333333"/>
      </w:rPr>
      <w:t xml:space="preserve"> </w:t>
    </w:r>
    <w:r w:rsidR="00003417" w:rsidRPr="00F03B95">
      <w:rPr>
        <w:rStyle w:val="Nmerodepgina"/>
        <w:color w:val="333333"/>
      </w:rPr>
      <w:fldChar w:fldCharType="begin"/>
    </w:r>
    <w:r w:rsidRPr="00F03B95">
      <w:rPr>
        <w:rStyle w:val="Nmerodepgina"/>
        <w:color w:val="333333"/>
      </w:rPr>
      <w:instrText xml:space="preserve"> PAGE </w:instrText>
    </w:r>
    <w:r w:rsidR="00003417" w:rsidRPr="00F03B95">
      <w:rPr>
        <w:rStyle w:val="Nmerodepgina"/>
        <w:color w:val="333333"/>
      </w:rPr>
      <w:fldChar w:fldCharType="separate"/>
    </w:r>
    <w:r w:rsidR="0061698B">
      <w:rPr>
        <w:rStyle w:val="Nmerodepgina"/>
        <w:noProof/>
        <w:color w:val="333333"/>
      </w:rPr>
      <w:t>2</w:t>
    </w:r>
    <w:r w:rsidR="00003417" w:rsidRPr="00F03B95">
      <w:rPr>
        <w:rStyle w:val="Nmerodepgina"/>
        <w:color w:val="333333"/>
      </w:rPr>
      <w:fldChar w:fldCharType="end"/>
    </w:r>
    <w:r w:rsidRPr="00F03B95">
      <w:rPr>
        <w:rStyle w:val="Nmerodepgina"/>
        <w:color w:val="333333"/>
      </w:rPr>
      <w:t>/</w:t>
    </w:r>
    <w:fldSimple w:instr=" NUMPAGES  \* MERGEFORMAT ">
      <w:r w:rsidR="0061698B" w:rsidRPr="0061698B">
        <w:rPr>
          <w:rStyle w:val="Nmerodepgina"/>
          <w:noProof/>
          <w:color w:val="333333"/>
        </w:rPr>
        <w:t>5</w:t>
      </w:r>
    </w:fldSimple>
    <w:r w:rsidRPr="00F03B95">
      <w:rPr>
        <w:rStyle w:val="Nmerodepgina"/>
        <w:color w:val="333333"/>
      </w:rPr>
      <w:t xml:space="preserve"> </w:t>
    </w:r>
  </w:p>
  <w:p w:rsidR="00601A75" w:rsidRPr="00F03B95"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68D4" w:rsidRDefault="00A868D4">
      <w:r>
        <w:separator/>
      </w:r>
    </w:p>
  </w:footnote>
  <w:footnote w:type="continuationSeparator" w:id="1">
    <w:p w:rsidR="00A868D4" w:rsidRDefault="00A868D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F03B95"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936D83"/>
    <w:multiLevelType w:val="multilevel"/>
    <w:tmpl w:val="CF5A273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nsid w:val="4D057D0C"/>
    <w:multiLevelType w:val="multilevel"/>
    <w:tmpl w:val="00A89DC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6A811958"/>
    <w:multiLevelType w:val="multilevel"/>
    <w:tmpl w:val="E8C8E9C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6"/>
  </w:hdrShapeDefaults>
  <w:footnotePr>
    <w:footnote w:id="0"/>
    <w:footnote w:id="1"/>
  </w:footnotePr>
  <w:endnotePr>
    <w:endnote w:id="0"/>
    <w:endnote w:id="1"/>
  </w:endnotePr>
  <w:compat/>
  <w:rsids>
    <w:rsidRoot w:val="004B27F5"/>
    <w:rsid w:val="00001988"/>
    <w:rsid w:val="000031F8"/>
    <w:rsid w:val="00003417"/>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27F5"/>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98B"/>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8464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68D4"/>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03B95"/>
    <w:rsid w:val="00F13C69"/>
    <w:rsid w:val="00F41DF6"/>
    <w:rsid w:val="00F52245"/>
    <w:rsid w:val="00F5569F"/>
    <w:rsid w:val="00F60308"/>
    <w:rsid w:val="00F640D0"/>
    <w:rsid w:val="00F75389"/>
    <w:rsid w:val="00F903E8"/>
    <w:rsid w:val="00FA0C8C"/>
    <w:rsid w:val="00FD07F5"/>
    <w:rsid w:val="00FE0D2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3B95"/>
    <w:pPr>
      <w:suppressAutoHyphens/>
      <w:jc w:val="both"/>
    </w:pPr>
    <w:rPr>
      <w:sz w:val="24"/>
      <w:szCs w:val="24"/>
      <w:lang w:val="es-ES_tradnl"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003417"/>
    <w:pPr>
      <w:ind w:left="3686"/>
    </w:pPr>
  </w:style>
  <w:style w:type="paragraph" w:styleId="Encabezado">
    <w:name w:val="header"/>
    <w:basedOn w:val="Normal"/>
    <w:link w:val="EncabezadoCar"/>
    <w:uiPriority w:val="99"/>
    <w:rsid w:val="00003417"/>
    <w:pPr>
      <w:tabs>
        <w:tab w:val="center" w:pos="4419"/>
        <w:tab w:val="right" w:pos="8838"/>
      </w:tabs>
    </w:pPr>
  </w:style>
  <w:style w:type="paragraph" w:styleId="Piedepgina">
    <w:name w:val="footer"/>
    <w:basedOn w:val="Normal"/>
    <w:rsid w:val="00003417"/>
    <w:pPr>
      <w:tabs>
        <w:tab w:val="center" w:pos="4419"/>
        <w:tab w:val="right" w:pos="8838"/>
      </w:tabs>
    </w:pPr>
  </w:style>
  <w:style w:type="character" w:styleId="Nmerodepgina">
    <w:name w:val="page number"/>
    <w:basedOn w:val="Fuentedeprrafopredeter"/>
    <w:rsid w:val="00003417"/>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FE0D25"/>
    <w:rPr>
      <w:rFonts w:ascii="Tahoma" w:hAnsi="Tahoma" w:cs="Tahoma"/>
      <w:sz w:val="16"/>
      <w:szCs w:val="16"/>
    </w:rPr>
  </w:style>
  <w:style w:type="character" w:customStyle="1" w:styleId="TextodegloboCar">
    <w:name w:val="Texto de globo Car"/>
    <w:basedOn w:val="Fuentedeprrafopredeter"/>
    <w:link w:val="Textodeglobo"/>
    <w:uiPriority w:val="99"/>
    <w:semiHidden/>
    <w:rsid w:val="00FE0D25"/>
    <w:rPr>
      <w:rFonts w:ascii="Tahoma" w:hAnsi="Tahoma" w:cs="Tahoma"/>
      <w:sz w:val="16"/>
      <w:szCs w:val="16"/>
      <w:lang w:val="es-ES_tradnl"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bcastro\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3</TotalTime>
  <Pages>5</Pages>
  <Words>1856</Words>
  <Characters>10520</Characters>
  <Application>Microsoft Office Word</Application>
  <DocSecurity>0</DocSecurity>
  <Lines>237</Lines>
  <Paragraphs>52</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12355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pabcastro</dc:creator>
  <cp:lastModifiedBy>pabcastro</cp:lastModifiedBy>
  <cp:revision>4</cp:revision>
  <cp:lastPrinted>2021-12-07T20:34:00Z</cp:lastPrinted>
  <dcterms:created xsi:type="dcterms:W3CDTF">2021-12-07T20:32:00Z</dcterms:created>
  <dcterms:modified xsi:type="dcterms:W3CDTF">2021-12-07T20:37:00Z</dcterms:modified>
</cp:coreProperties>
</file>