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C23" w:rsidRPr="00E90A47" w:rsidRDefault="00AF6C23" w:rsidP="00AF6C23">
      <w:pPr>
        <w:rPr>
          <w:szCs w:val="24"/>
          <w:lang w:val="es-AR" w:eastAsia="es-AR"/>
        </w:rPr>
      </w:pPr>
    </w:p>
    <w:p w:rsidR="00AF6C23" w:rsidRPr="00E90A47" w:rsidRDefault="00AF6C23" w:rsidP="00AF6C23">
      <w:pPr>
        <w:pBdr>
          <w:top w:val="nil"/>
          <w:left w:val="nil"/>
          <w:bottom w:val="nil"/>
          <w:right w:val="nil"/>
          <w:between w:val="nil"/>
        </w:pBdr>
        <w:spacing w:after="160" w:line="259" w:lineRule="auto"/>
        <w:jc w:val="center"/>
        <w:rPr>
          <w:b/>
          <w:color w:val="000000"/>
          <w:szCs w:val="24"/>
          <w:lang w:val="es-AR" w:eastAsia="es-AR"/>
        </w:rPr>
      </w:pPr>
      <w:bookmarkStart w:id="0" w:name="gjdgxs" w:colFirst="0" w:colLast="0"/>
      <w:bookmarkEnd w:id="0"/>
      <w:r w:rsidRPr="00E90A47">
        <w:rPr>
          <w:b/>
          <w:color w:val="000000"/>
          <w:szCs w:val="24"/>
          <w:lang w:val="es-AR" w:eastAsia="es-AR"/>
        </w:rPr>
        <w:t>PROYECTO DE RESOLUCIÓN</w:t>
      </w:r>
    </w:p>
    <w:p w:rsidR="00AF6C23" w:rsidRPr="00E36CCD" w:rsidRDefault="00AF6C23" w:rsidP="00AF6C23">
      <w:pPr>
        <w:pBdr>
          <w:top w:val="nil"/>
          <w:left w:val="nil"/>
          <w:bottom w:val="nil"/>
          <w:right w:val="nil"/>
          <w:between w:val="nil"/>
        </w:pBdr>
        <w:spacing w:after="160" w:line="360" w:lineRule="auto"/>
        <w:jc w:val="left"/>
        <w:rPr>
          <w:b/>
          <w:color w:val="000000"/>
          <w:szCs w:val="24"/>
          <w:lang w:val="es-AR" w:eastAsia="es-AR"/>
        </w:rPr>
      </w:pPr>
    </w:p>
    <w:p w:rsidR="00AF6C23" w:rsidRPr="00E90A47" w:rsidRDefault="00AF6C23" w:rsidP="00AF6C23">
      <w:pPr>
        <w:pBdr>
          <w:top w:val="nil"/>
          <w:left w:val="nil"/>
          <w:bottom w:val="nil"/>
          <w:right w:val="nil"/>
          <w:between w:val="nil"/>
        </w:pBdr>
        <w:spacing w:after="160" w:line="360" w:lineRule="auto"/>
        <w:jc w:val="left"/>
        <w:rPr>
          <w:color w:val="000000"/>
          <w:szCs w:val="24"/>
          <w:lang w:val="es-AR" w:eastAsia="es-AR"/>
        </w:rPr>
      </w:pPr>
      <w:r w:rsidRPr="00E90A47">
        <w:rPr>
          <w:b/>
          <w:color w:val="000000"/>
          <w:szCs w:val="24"/>
          <w:lang w:val="es-AR" w:eastAsia="es-AR"/>
        </w:rPr>
        <w:t>Artículo 1º.-</w:t>
      </w:r>
      <w:r w:rsidRPr="00E90A47">
        <w:rPr>
          <w:color w:val="000000"/>
          <w:szCs w:val="24"/>
          <w:lang w:val="es-AR" w:eastAsia="es-AR"/>
        </w:rPr>
        <w:t xml:space="preserve"> </w:t>
      </w:r>
      <w:proofErr w:type="spellStart"/>
      <w:r w:rsidRPr="00E90A47">
        <w:rPr>
          <w:color w:val="000000"/>
          <w:szCs w:val="24"/>
          <w:lang w:val="es-AR" w:eastAsia="es-AR"/>
        </w:rPr>
        <w:t>Modifícase</w:t>
      </w:r>
      <w:proofErr w:type="spellEnd"/>
      <w:r w:rsidRPr="00E90A47">
        <w:rPr>
          <w:color w:val="000000"/>
          <w:szCs w:val="24"/>
          <w:lang w:val="es-AR" w:eastAsia="es-AR"/>
        </w:rPr>
        <w:t xml:space="preserve"> el artículo 110</w:t>
      </w:r>
      <w:r w:rsidRPr="00E90A47">
        <w:rPr>
          <w:b/>
          <w:color w:val="000000"/>
          <w:szCs w:val="24"/>
          <w:lang w:val="es-AR" w:eastAsia="es-AR"/>
        </w:rPr>
        <w:t>°</w:t>
      </w:r>
      <w:r w:rsidRPr="00E90A47">
        <w:rPr>
          <w:color w:val="000000"/>
          <w:szCs w:val="24"/>
          <w:lang w:val="es-AR" w:eastAsia="es-AR"/>
        </w:rPr>
        <w:t xml:space="preserve"> del Reglamento, el que quedará redactado de la siguiente manera:</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“ARTÍCULO 110º: Comisiones Permanentes.</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Las Comisiones Permanentes de Asesoramiento de la Legislatura serán las siguientes:</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1. Asuntos Constitucionales</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2. Legislación General</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3. Legislación del Trabajo</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4. Presupuesto, Hacienda, Administración Financiera y Política Tributaria</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5. Derechos Humanos, Garantías y Antidiscriminación</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6. Justicia</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7. Seguridad</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8. Salud</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9. Educación, Ciencia y Tecnología</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10. Cultura</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11. Comunicación Social</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12. Políticas de Promoción e Integración Social</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13. Obras y Servicios Públicos</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14. Planeamiento Urbano</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15. Desarrollo Económico, Mercosur y Políticas de Empleo</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16. Descentralización y Participación Ciudadana</w:t>
      </w:r>
    </w:p>
    <w:p w:rsidR="00AF6C23" w:rsidRPr="00E90A47" w:rsidRDefault="00AF6C23" w:rsidP="00AF6C23">
      <w:pPr>
        <w:spacing w:after="160" w:line="360" w:lineRule="auto"/>
        <w:jc w:val="left"/>
        <w:rPr>
          <w:b/>
          <w:i/>
          <w:szCs w:val="24"/>
          <w:lang w:val="es-AR" w:eastAsia="es-AR"/>
        </w:rPr>
      </w:pPr>
      <w:r w:rsidRPr="00E90A47">
        <w:rPr>
          <w:b/>
          <w:i/>
          <w:szCs w:val="24"/>
          <w:lang w:val="es-AR" w:eastAsia="es-AR"/>
        </w:rPr>
        <w:t>17. Discapacidad</w:t>
      </w:r>
    </w:p>
    <w:p w:rsidR="00AF6C23" w:rsidRPr="00E90A47" w:rsidRDefault="00AF6C23" w:rsidP="00AF6C23">
      <w:pPr>
        <w:pBdr>
          <w:top w:val="nil"/>
          <w:left w:val="nil"/>
          <w:bottom w:val="nil"/>
          <w:right w:val="nil"/>
          <w:between w:val="nil"/>
        </w:pBdr>
        <w:spacing w:after="160" w:line="360" w:lineRule="auto"/>
        <w:jc w:val="left"/>
        <w:rPr>
          <w:b/>
          <w:i/>
          <w:color w:val="000000"/>
          <w:szCs w:val="24"/>
          <w:lang w:val="es-AR" w:eastAsia="es-AR"/>
        </w:rPr>
      </w:pPr>
      <w:r w:rsidRPr="00E90A47">
        <w:rPr>
          <w:b/>
          <w:i/>
          <w:color w:val="000000"/>
          <w:szCs w:val="24"/>
          <w:lang w:val="es-AR" w:eastAsia="es-AR"/>
        </w:rPr>
        <w:t>1</w:t>
      </w:r>
      <w:r w:rsidRPr="00E90A47">
        <w:rPr>
          <w:b/>
          <w:i/>
          <w:szCs w:val="24"/>
          <w:lang w:val="es-AR" w:eastAsia="es-AR"/>
        </w:rPr>
        <w:t>8</w:t>
      </w:r>
      <w:r w:rsidRPr="00E90A47">
        <w:rPr>
          <w:b/>
          <w:i/>
          <w:color w:val="000000"/>
          <w:szCs w:val="24"/>
          <w:lang w:val="es-AR" w:eastAsia="es-AR"/>
        </w:rPr>
        <w:t xml:space="preserve">. Mujeres, Géneros y </w:t>
      </w:r>
      <w:r w:rsidRPr="00E90A47">
        <w:rPr>
          <w:b/>
          <w:i/>
          <w:szCs w:val="24"/>
          <w:lang w:val="es-AR" w:eastAsia="es-AR"/>
        </w:rPr>
        <w:t>Diversidades</w:t>
      </w:r>
    </w:p>
    <w:p w:rsidR="00AF6C23" w:rsidRPr="00E90A47" w:rsidRDefault="00AF6C23" w:rsidP="00AF6C23">
      <w:pPr>
        <w:pBdr>
          <w:top w:val="nil"/>
          <w:left w:val="nil"/>
          <w:bottom w:val="nil"/>
          <w:right w:val="nil"/>
          <w:between w:val="nil"/>
        </w:pBdr>
        <w:spacing w:after="160" w:line="360" w:lineRule="auto"/>
        <w:jc w:val="left"/>
        <w:rPr>
          <w:b/>
          <w:i/>
          <w:color w:val="000000"/>
          <w:szCs w:val="24"/>
          <w:lang w:val="es-AR" w:eastAsia="es-AR"/>
        </w:rPr>
      </w:pPr>
      <w:r w:rsidRPr="00E90A47">
        <w:rPr>
          <w:b/>
          <w:i/>
          <w:color w:val="000000"/>
          <w:szCs w:val="24"/>
          <w:lang w:val="es-AR" w:eastAsia="es-AR"/>
        </w:rPr>
        <w:t>1</w:t>
      </w:r>
      <w:r w:rsidRPr="00E90A47">
        <w:rPr>
          <w:b/>
          <w:i/>
          <w:szCs w:val="24"/>
          <w:lang w:val="es-AR" w:eastAsia="es-AR"/>
        </w:rPr>
        <w:t>9</w:t>
      </w:r>
      <w:r w:rsidRPr="00E90A47">
        <w:rPr>
          <w:b/>
          <w:i/>
          <w:color w:val="000000"/>
          <w:szCs w:val="24"/>
          <w:lang w:val="es-AR" w:eastAsia="es-AR"/>
        </w:rPr>
        <w:t>. Niñez, Adolescencia y Juventud</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szCs w:val="24"/>
          <w:lang w:val="es-AR" w:eastAsia="es-AR"/>
        </w:rPr>
        <w:t>20</w:t>
      </w:r>
      <w:r w:rsidRPr="00E90A47">
        <w:rPr>
          <w:i/>
          <w:color w:val="000000"/>
          <w:szCs w:val="24"/>
          <w:lang w:val="es-AR" w:eastAsia="es-AR"/>
        </w:rPr>
        <w:t>. Defensa de los Consumidores y Usuarios</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2</w:t>
      </w:r>
      <w:r w:rsidRPr="00E90A47">
        <w:rPr>
          <w:i/>
          <w:szCs w:val="24"/>
          <w:lang w:val="es-AR" w:eastAsia="es-AR"/>
        </w:rPr>
        <w:t>1</w:t>
      </w:r>
      <w:r w:rsidRPr="00E90A47">
        <w:rPr>
          <w:i/>
          <w:color w:val="000000"/>
          <w:szCs w:val="24"/>
          <w:lang w:val="es-AR" w:eastAsia="es-AR"/>
        </w:rPr>
        <w:t xml:space="preserve">. Relaciones </w:t>
      </w:r>
      <w:proofErr w:type="spellStart"/>
      <w:r w:rsidRPr="00E90A47">
        <w:rPr>
          <w:i/>
          <w:color w:val="000000"/>
          <w:szCs w:val="24"/>
          <w:lang w:val="es-AR" w:eastAsia="es-AR"/>
        </w:rPr>
        <w:t>Interjurisdiccionales</w:t>
      </w:r>
      <w:proofErr w:type="spellEnd"/>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lastRenderedPageBreak/>
        <w:t>2</w:t>
      </w:r>
      <w:r w:rsidRPr="00E90A47">
        <w:rPr>
          <w:i/>
          <w:szCs w:val="24"/>
          <w:lang w:val="es-AR" w:eastAsia="es-AR"/>
        </w:rPr>
        <w:t>2</w:t>
      </w:r>
      <w:r w:rsidRPr="00E90A47">
        <w:rPr>
          <w:i/>
          <w:color w:val="000000"/>
          <w:szCs w:val="24"/>
          <w:lang w:val="es-AR" w:eastAsia="es-AR"/>
        </w:rPr>
        <w:t>. Protección y Uso del Espacio Público</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2</w:t>
      </w:r>
      <w:r w:rsidRPr="00E90A47">
        <w:rPr>
          <w:i/>
          <w:szCs w:val="24"/>
          <w:lang w:val="es-AR" w:eastAsia="es-AR"/>
        </w:rPr>
        <w:t>3</w:t>
      </w:r>
      <w:r w:rsidRPr="00E90A47">
        <w:rPr>
          <w:i/>
          <w:color w:val="000000"/>
          <w:szCs w:val="24"/>
          <w:lang w:val="es-AR" w:eastAsia="es-AR"/>
        </w:rPr>
        <w:t>. Ambiente</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2</w:t>
      </w:r>
      <w:r w:rsidRPr="00E90A47">
        <w:rPr>
          <w:i/>
          <w:szCs w:val="24"/>
          <w:lang w:val="es-AR" w:eastAsia="es-AR"/>
        </w:rPr>
        <w:t>4</w:t>
      </w:r>
      <w:r w:rsidRPr="00E90A47">
        <w:rPr>
          <w:i/>
          <w:color w:val="000000"/>
          <w:szCs w:val="24"/>
          <w:lang w:val="es-AR" w:eastAsia="es-AR"/>
        </w:rPr>
        <w:t>. Vivienda</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2</w:t>
      </w:r>
      <w:r w:rsidRPr="00E90A47">
        <w:rPr>
          <w:i/>
          <w:szCs w:val="24"/>
          <w:lang w:val="es-AR" w:eastAsia="es-AR"/>
        </w:rPr>
        <w:t>5</w:t>
      </w:r>
      <w:r w:rsidRPr="00E90A47">
        <w:rPr>
          <w:i/>
          <w:color w:val="000000"/>
          <w:szCs w:val="24"/>
          <w:lang w:val="es-AR" w:eastAsia="es-AR"/>
        </w:rPr>
        <w:t>. Tránsito y Transporte</w:t>
      </w:r>
    </w:p>
    <w:p w:rsidR="00AF6C23" w:rsidRPr="00E90A47" w:rsidRDefault="00AF6C23" w:rsidP="00AF6C23">
      <w:pPr>
        <w:pBdr>
          <w:top w:val="nil"/>
          <w:left w:val="nil"/>
          <w:bottom w:val="nil"/>
          <w:right w:val="nil"/>
          <w:between w:val="nil"/>
        </w:pBdr>
        <w:spacing w:after="160" w:line="360" w:lineRule="auto"/>
        <w:jc w:val="left"/>
        <w:rPr>
          <w:i/>
          <w:color w:val="000000"/>
          <w:szCs w:val="24"/>
          <w:lang w:val="es-AR" w:eastAsia="es-AR"/>
        </w:rPr>
      </w:pPr>
      <w:r w:rsidRPr="00E90A47">
        <w:rPr>
          <w:i/>
          <w:color w:val="000000"/>
          <w:szCs w:val="24"/>
          <w:lang w:val="es-AR" w:eastAsia="es-AR"/>
        </w:rPr>
        <w:t>2</w:t>
      </w:r>
      <w:r w:rsidRPr="00E90A47">
        <w:rPr>
          <w:i/>
          <w:szCs w:val="24"/>
          <w:lang w:val="es-AR" w:eastAsia="es-AR"/>
        </w:rPr>
        <w:t>6</w:t>
      </w:r>
      <w:r w:rsidRPr="00E90A47">
        <w:rPr>
          <w:i/>
          <w:color w:val="000000"/>
          <w:szCs w:val="24"/>
          <w:lang w:val="es-AR" w:eastAsia="es-AR"/>
        </w:rPr>
        <w:t>. Turismo y Deportes”</w:t>
      </w:r>
    </w:p>
    <w:p w:rsidR="00AF6C23" w:rsidRPr="00E36CCD" w:rsidRDefault="00AF6C23" w:rsidP="00AF6C23">
      <w:pPr>
        <w:spacing w:line="360" w:lineRule="auto"/>
        <w:rPr>
          <w:b/>
          <w:szCs w:val="24"/>
          <w:lang w:val="es-AR" w:eastAsia="es-AR"/>
        </w:rPr>
      </w:pPr>
    </w:p>
    <w:p w:rsidR="00AF6C23" w:rsidRPr="00E90A47" w:rsidRDefault="00AF6C23" w:rsidP="00AF6C23">
      <w:pPr>
        <w:spacing w:line="360" w:lineRule="auto"/>
        <w:rPr>
          <w:szCs w:val="24"/>
          <w:lang w:val="es-AR" w:eastAsia="es-AR"/>
        </w:rPr>
      </w:pPr>
      <w:r w:rsidRPr="00E90A47">
        <w:rPr>
          <w:b/>
          <w:szCs w:val="24"/>
          <w:lang w:val="es-AR" w:eastAsia="es-AR"/>
        </w:rPr>
        <w:t>Artículo 2</w:t>
      </w:r>
      <w:proofErr w:type="gramStart"/>
      <w:r w:rsidRPr="00E90A47">
        <w:rPr>
          <w:b/>
          <w:szCs w:val="24"/>
          <w:lang w:val="es-AR" w:eastAsia="es-AR"/>
        </w:rPr>
        <w:t>°</w:t>
      </w:r>
      <w:r w:rsidRPr="00E90A47">
        <w:rPr>
          <w:szCs w:val="24"/>
          <w:lang w:val="es-AR" w:eastAsia="es-AR"/>
        </w:rPr>
        <w:t>.-</w:t>
      </w:r>
      <w:proofErr w:type="gramEnd"/>
      <w:r w:rsidRPr="00E90A47">
        <w:rPr>
          <w:szCs w:val="24"/>
          <w:lang w:val="es-AR" w:eastAsia="es-AR"/>
        </w:rPr>
        <w:t xml:space="preserve"> </w:t>
      </w:r>
      <w:proofErr w:type="spellStart"/>
      <w:r w:rsidRPr="00E90A47">
        <w:rPr>
          <w:szCs w:val="24"/>
          <w:lang w:val="es-AR" w:eastAsia="es-AR"/>
        </w:rPr>
        <w:t>Modifícase</w:t>
      </w:r>
      <w:proofErr w:type="spellEnd"/>
      <w:r w:rsidRPr="00E90A47">
        <w:rPr>
          <w:szCs w:val="24"/>
          <w:lang w:val="es-AR" w:eastAsia="es-AR"/>
        </w:rPr>
        <w:t xml:space="preserve"> el artículo 132 del Reglamento, que quedará redactado de la siguiente manera:</w:t>
      </w:r>
    </w:p>
    <w:p w:rsidR="00AF6C23" w:rsidRPr="00E90A47" w:rsidRDefault="00AF6C23" w:rsidP="00AF6C23">
      <w:pPr>
        <w:spacing w:line="360" w:lineRule="auto"/>
        <w:rPr>
          <w:szCs w:val="24"/>
          <w:lang w:val="es-AR" w:eastAsia="es-AR"/>
        </w:rPr>
      </w:pPr>
    </w:p>
    <w:p w:rsidR="00AF6C23" w:rsidRPr="00E90A47" w:rsidRDefault="00AF6C23" w:rsidP="00AF6C23">
      <w:pPr>
        <w:spacing w:line="360" w:lineRule="auto"/>
        <w:ind w:right="618"/>
        <w:rPr>
          <w:i/>
          <w:szCs w:val="24"/>
          <w:lang w:val="es-AR" w:eastAsia="es-AR"/>
        </w:rPr>
      </w:pPr>
      <w:r w:rsidRPr="00E90A47">
        <w:rPr>
          <w:i/>
          <w:szCs w:val="24"/>
          <w:lang w:val="es-AR" w:eastAsia="es-AR"/>
        </w:rPr>
        <w:t xml:space="preserve">"ARTICULO 132: Cantidad de Miembros. Las Comisiones Permanentes de Asesoramiento se integran de la siguiente manera: </w:t>
      </w:r>
    </w:p>
    <w:p w:rsidR="00AF6C23" w:rsidRPr="00E90A47" w:rsidRDefault="00AF6C23" w:rsidP="00AF6C23">
      <w:pPr>
        <w:spacing w:line="360" w:lineRule="auto"/>
        <w:ind w:right="618"/>
        <w:rPr>
          <w:i/>
          <w:szCs w:val="24"/>
          <w:lang w:val="es-AR" w:eastAsia="es-AR"/>
        </w:rPr>
      </w:pPr>
      <w:r w:rsidRPr="00E90A47">
        <w:rPr>
          <w:i/>
          <w:szCs w:val="24"/>
          <w:lang w:val="es-AR" w:eastAsia="es-AR"/>
        </w:rPr>
        <w:t xml:space="preserve">1) Presupuesto, Hacienda, Administración Financiera y Política Tributaria se integra con veintitrés (23) diputados y diputadas; </w:t>
      </w:r>
    </w:p>
    <w:p w:rsidR="00AF6C23" w:rsidRPr="00E90A47" w:rsidRDefault="00AF6C23" w:rsidP="00AF6C23">
      <w:pPr>
        <w:spacing w:line="360" w:lineRule="auto"/>
        <w:ind w:right="618"/>
        <w:rPr>
          <w:i/>
          <w:szCs w:val="24"/>
          <w:lang w:val="es-AR" w:eastAsia="es-AR"/>
        </w:rPr>
      </w:pPr>
      <w:r w:rsidRPr="00E90A47">
        <w:rPr>
          <w:i/>
          <w:szCs w:val="24"/>
          <w:lang w:val="es-AR" w:eastAsia="es-AR"/>
        </w:rPr>
        <w:t xml:space="preserve">2) Asuntos Constitucionales; Obras y Servicios Públicos; Planeamiento Urbano; Educación, Ciencia y Tecnología; y Salud se integran con quince (15) diputados y diputadas; </w:t>
      </w:r>
    </w:p>
    <w:p w:rsidR="00AF6C23" w:rsidRPr="00E90A47" w:rsidRDefault="00AF6C23" w:rsidP="00AF6C23">
      <w:pPr>
        <w:spacing w:line="360" w:lineRule="auto"/>
        <w:ind w:right="618"/>
        <w:rPr>
          <w:i/>
          <w:szCs w:val="24"/>
          <w:lang w:val="es-AR" w:eastAsia="es-AR"/>
        </w:rPr>
      </w:pPr>
      <w:r w:rsidRPr="00E90A47">
        <w:rPr>
          <w:i/>
          <w:szCs w:val="24"/>
          <w:lang w:val="es-AR" w:eastAsia="es-AR"/>
        </w:rPr>
        <w:t xml:space="preserve">3) Descentralización y Participación Ciudadana; Vivienda; Justicia; Seguridad; Cultura; Derechos Humanos, Garantías y </w:t>
      </w:r>
      <w:proofErr w:type="gramStart"/>
      <w:r w:rsidRPr="00E90A47">
        <w:rPr>
          <w:i/>
          <w:szCs w:val="24"/>
          <w:lang w:val="es-AR" w:eastAsia="es-AR"/>
        </w:rPr>
        <w:t>Antidiscriminación;  Desarrollo</w:t>
      </w:r>
      <w:proofErr w:type="gramEnd"/>
      <w:r w:rsidRPr="00E90A47">
        <w:rPr>
          <w:i/>
          <w:szCs w:val="24"/>
          <w:lang w:val="es-AR" w:eastAsia="es-AR"/>
        </w:rPr>
        <w:t xml:space="preserve"> Económico, MERCOSUR y Políticas de</w:t>
      </w:r>
      <w:r w:rsidRPr="00E90A47">
        <w:rPr>
          <w:b/>
          <w:i/>
          <w:szCs w:val="24"/>
          <w:lang w:val="es-AR" w:eastAsia="es-AR"/>
        </w:rPr>
        <w:t xml:space="preserve"> </w:t>
      </w:r>
      <w:r w:rsidRPr="00E90A47">
        <w:rPr>
          <w:i/>
          <w:szCs w:val="24"/>
          <w:lang w:val="es-AR" w:eastAsia="es-AR"/>
        </w:rPr>
        <w:t xml:space="preserve">Empleo,  </w:t>
      </w:r>
      <w:r w:rsidRPr="00E90A47">
        <w:rPr>
          <w:b/>
          <w:i/>
          <w:szCs w:val="24"/>
          <w:lang w:val="es-AR" w:eastAsia="es-AR"/>
        </w:rPr>
        <w:t>Mujeres, Géneros y Diversidades</w:t>
      </w:r>
      <w:r w:rsidRPr="00E90A47">
        <w:rPr>
          <w:i/>
          <w:szCs w:val="24"/>
          <w:lang w:val="es-AR" w:eastAsia="es-AR"/>
        </w:rPr>
        <w:t xml:space="preserve"> y</w:t>
      </w:r>
      <w:r w:rsidRPr="00E90A47">
        <w:rPr>
          <w:b/>
          <w:i/>
          <w:szCs w:val="24"/>
          <w:lang w:val="es-AR" w:eastAsia="es-AR"/>
        </w:rPr>
        <w:t xml:space="preserve"> Niñez,  Adolescencia y Juventud</w:t>
      </w:r>
      <w:r w:rsidRPr="00E90A47">
        <w:rPr>
          <w:i/>
          <w:szCs w:val="24"/>
          <w:lang w:val="es-AR" w:eastAsia="es-AR"/>
        </w:rPr>
        <w:t xml:space="preserve"> se integran con trece (13) diputados y diputadas; </w:t>
      </w:r>
    </w:p>
    <w:p w:rsidR="00AF6C23" w:rsidRPr="00E90A47" w:rsidRDefault="00AF6C23" w:rsidP="00AF6C23">
      <w:pPr>
        <w:spacing w:line="360" w:lineRule="auto"/>
        <w:ind w:right="618"/>
        <w:rPr>
          <w:i/>
          <w:szCs w:val="24"/>
          <w:lang w:val="es-AR" w:eastAsia="es-AR"/>
        </w:rPr>
      </w:pPr>
      <w:r w:rsidRPr="00E90A47">
        <w:rPr>
          <w:i/>
          <w:szCs w:val="24"/>
          <w:lang w:val="es-AR" w:eastAsia="es-AR"/>
        </w:rPr>
        <w:t xml:space="preserve">4)  </w:t>
      </w:r>
      <w:proofErr w:type="gramStart"/>
      <w:r w:rsidRPr="00E90A47">
        <w:rPr>
          <w:i/>
          <w:szCs w:val="24"/>
          <w:lang w:val="es-AR" w:eastAsia="es-AR"/>
        </w:rPr>
        <w:t>Ambiente  y</w:t>
      </w:r>
      <w:proofErr w:type="gramEnd"/>
      <w:r w:rsidRPr="00E90A47">
        <w:rPr>
          <w:i/>
          <w:szCs w:val="24"/>
          <w:lang w:val="es-AR" w:eastAsia="es-AR"/>
        </w:rPr>
        <w:t xml:space="preserve">  </w:t>
      </w:r>
      <w:r w:rsidRPr="00E90A47">
        <w:rPr>
          <w:b/>
          <w:i/>
          <w:szCs w:val="24"/>
          <w:lang w:val="es-AR" w:eastAsia="es-AR"/>
        </w:rPr>
        <w:t>Políticas de Promoción e Integración Social</w:t>
      </w:r>
      <w:r w:rsidRPr="00E90A47">
        <w:rPr>
          <w:i/>
          <w:szCs w:val="24"/>
          <w:lang w:val="es-AR" w:eastAsia="es-AR"/>
        </w:rPr>
        <w:t xml:space="preserve"> se integra</w:t>
      </w:r>
      <w:r w:rsidRPr="00E90A47">
        <w:rPr>
          <w:b/>
          <w:i/>
          <w:szCs w:val="24"/>
          <w:lang w:val="es-AR" w:eastAsia="es-AR"/>
        </w:rPr>
        <w:t>n</w:t>
      </w:r>
      <w:r w:rsidRPr="00E90A47">
        <w:rPr>
          <w:i/>
          <w:szCs w:val="24"/>
          <w:lang w:val="es-AR" w:eastAsia="es-AR"/>
        </w:rPr>
        <w:t xml:space="preserve"> con once (11) diputados y diputadas;</w:t>
      </w:r>
    </w:p>
    <w:p w:rsidR="00AF6C23" w:rsidRPr="00E90A47" w:rsidRDefault="00AF6C23" w:rsidP="00AF6C23">
      <w:pPr>
        <w:spacing w:line="360" w:lineRule="auto"/>
        <w:ind w:right="618"/>
        <w:rPr>
          <w:i/>
          <w:szCs w:val="24"/>
          <w:lang w:val="es-AR" w:eastAsia="es-AR"/>
        </w:rPr>
      </w:pPr>
      <w:r w:rsidRPr="00E90A47">
        <w:rPr>
          <w:b/>
          <w:i/>
          <w:szCs w:val="24"/>
          <w:lang w:val="es-AR" w:eastAsia="es-AR"/>
        </w:rPr>
        <w:t>5)</w:t>
      </w:r>
      <w:r w:rsidRPr="00E90A47">
        <w:rPr>
          <w:i/>
          <w:szCs w:val="24"/>
          <w:lang w:val="es-AR" w:eastAsia="es-AR"/>
        </w:rPr>
        <w:t xml:space="preserve"> Relaciones </w:t>
      </w:r>
      <w:proofErr w:type="spellStart"/>
      <w:r w:rsidRPr="00E90A47">
        <w:rPr>
          <w:i/>
          <w:szCs w:val="24"/>
          <w:lang w:val="es-AR" w:eastAsia="es-AR"/>
        </w:rPr>
        <w:t>Interjurisdiccionales</w:t>
      </w:r>
      <w:proofErr w:type="spellEnd"/>
      <w:r w:rsidRPr="00E90A47">
        <w:rPr>
          <w:i/>
          <w:szCs w:val="24"/>
          <w:lang w:val="es-AR" w:eastAsia="es-AR"/>
        </w:rPr>
        <w:t xml:space="preserve">; Turismo y Deportes; Legislación General; Legislación del </w:t>
      </w:r>
      <w:proofErr w:type="gramStart"/>
      <w:r w:rsidRPr="00E90A47">
        <w:rPr>
          <w:i/>
          <w:szCs w:val="24"/>
          <w:lang w:val="es-AR" w:eastAsia="es-AR"/>
        </w:rPr>
        <w:t>Trabajo;;</w:t>
      </w:r>
      <w:proofErr w:type="gramEnd"/>
      <w:r w:rsidRPr="00E90A47">
        <w:rPr>
          <w:i/>
          <w:szCs w:val="24"/>
          <w:lang w:val="es-AR" w:eastAsia="es-AR"/>
        </w:rPr>
        <w:t xml:space="preserve"> Tránsito y Transporte  y Protección y Uso del Espacio Público se integran con nueve (9) diputados y diputadas; </w:t>
      </w:r>
    </w:p>
    <w:p w:rsidR="00AF6C23" w:rsidRPr="00E90A47" w:rsidRDefault="00AF6C23" w:rsidP="00AF6C23">
      <w:pPr>
        <w:spacing w:line="360" w:lineRule="auto"/>
        <w:ind w:right="618"/>
        <w:rPr>
          <w:i/>
          <w:szCs w:val="24"/>
          <w:lang w:val="es-AR" w:eastAsia="es-AR"/>
        </w:rPr>
      </w:pPr>
      <w:r w:rsidRPr="00E90A47">
        <w:rPr>
          <w:i/>
          <w:szCs w:val="24"/>
          <w:lang w:val="es-AR" w:eastAsia="es-AR"/>
        </w:rPr>
        <w:t xml:space="preserve">6) Defensa de los Consumidores y Usuarios, Comunicación Social y </w:t>
      </w:r>
      <w:r w:rsidRPr="00E90A47">
        <w:rPr>
          <w:b/>
          <w:i/>
          <w:szCs w:val="24"/>
          <w:lang w:val="es-AR" w:eastAsia="es-AR"/>
        </w:rPr>
        <w:t>Discapacidad</w:t>
      </w:r>
      <w:r w:rsidRPr="00E90A47">
        <w:rPr>
          <w:i/>
          <w:szCs w:val="24"/>
          <w:lang w:val="es-AR" w:eastAsia="es-AR"/>
        </w:rPr>
        <w:t xml:space="preserve"> se integran con siete (7) diputados y diputadas." </w:t>
      </w:r>
    </w:p>
    <w:p w:rsidR="00AF6C23" w:rsidRPr="00E90A47" w:rsidRDefault="00AF6C23" w:rsidP="00AF6C23">
      <w:pPr>
        <w:spacing w:line="360" w:lineRule="auto"/>
        <w:rPr>
          <w:b/>
          <w:szCs w:val="24"/>
          <w:lang w:val="es-AR" w:eastAsia="es-AR"/>
        </w:rPr>
      </w:pPr>
    </w:p>
    <w:p w:rsidR="00AF6C23" w:rsidRPr="00E90A47" w:rsidRDefault="00AF6C23" w:rsidP="00AF6C23">
      <w:pPr>
        <w:spacing w:line="360" w:lineRule="auto"/>
        <w:rPr>
          <w:szCs w:val="24"/>
          <w:lang w:val="es-AR" w:eastAsia="es-AR"/>
        </w:rPr>
      </w:pPr>
      <w:r w:rsidRPr="00E90A47">
        <w:rPr>
          <w:b/>
          <w:szCs w:val="24"/>
          <w:lang w:val="es-AR" w:eastAsia="es-AR"/>
        </w:rPr>
        <w:t>Artículo 3</w:t>
      </w:r>
      <w:proofErr w:type="gramStart"/>
      <w:r w:rsidRPr="00E90A47">
        <w:rPr>
          <w:b/>
          <w:szCs w:val="24"/>
          <w:lang w:val="es-AR" w:eastAsia="es-AR"/>
        </w:rPr>
        <w:t>°.-</w:t>
      </w:r>
      <w:proofErr w:type="gramEnd"/>
      <w:r w:rsidRPr="00E90A47">
        <w:rPr>
          <w:szCs w:val="24"/>
          <w:lang w:val="es-AR" w:eastAsia="es-AR"/>
        </w:rPr>
        <w:t xml:space="preserve"> </w:t>
      </w:r>
      <w:proofErr w:type="spellStart"/>
      <w:r w:rsidRPr="00E90A47">
        <w:rPr>
          <w:szCs w:val="24"/>
          <w:lang w:val="es-AR" w:eastAsia="es-AR"/>
        </w:rPr>
        <w:t>Modifícase</w:t>
      </w:r>
      <w:proofErr w:type="spellEnd"/>
      <w:r w:rsidRPr="00E90A47">
        <w:rPr>
          <w:szCs w:val="24"/>
          <w:lang w:val="es-AR" w:eastAsia="es-AR"/>
        </w:rPr>
        <w:t xml:space="preserve"> el artículo 120 del Reglamento, que quedará redactado de la siguiente manera.  </w:t>
      </w:r>
    </w:p>
    <w:p w:rsidR="00AF6C23" w:rsidRPr="00E90A47" w:rsidRDefault="00AF6C23" w:rsidP="00AF6C23">
      <w:pPr>
        <w:spacing w:line="360" w:lineRule="auto"/>
        <w:rPr>
          <w:szCs w:val="24"/>
          <w:lang w:val="es-AR" w:eastAsia="es-AR"/>
        </w:rPr>
      </w:pPr>
    </w:p>
    <w:p w:rsidR="00AF6C23" w:rsidRPr="00E90A47" w:rsidRDefault="00AF6C23" w:rsidP="00AF6C23">
      <w:pPr>
        <w:spacing w:line="360" w:lineRule="auto"/>
        <w:rPr>
          <w:i/>
          <w:szCs w:val="24"/>
          <w:lang w:val="es-AR" w:eastAsia="es-AR"/>
        </w:rPr>
      </w:pPr>
      <w:r w:rsidRPr="00E90A47">
        <w:rPr>
          <w:i/>
          <w:szCs w:val="24"/>
          <w:lang w:val="es-AR" w:eastAsia="es-AR"/>
        </w:rPr>
        <w:t xml:space="preserve">"ARTICULO 120. Políticas de Promoción e Integración Social.  Compete a la Comisión de Políticas de Promoción e Integración Social dictaminar sobre todo asunto o proyecto vinculado a las familias y a las personas mayores, la prevención y protección a sectores </w:t>
      </w:r>
      <w:r w:rsidRPr="00E90A47">
        <w:rPr>
          <w:i/>
          <w:szCs w:val="24"/>
          <w:lang w:val="es-AR" w:eastAsia="es-AR"/>
        </w:rPr>
        <w:lastRenderedPageBreak/>
        <w:t>de riesgo, desde la perspectiva de su promoción e integración social; los geriátricos, los centros de asistencia social, las políticas de emergencia, los barrios carenciados, la asistencia comunitaria, los subsidios a entidades intermedias, la defensa civil y a lo determinado por los artículos 17, 18, 19 y 41 de la Constitución de la Ciudad.</w:t>
      </w:r>
      <w:r w:rsidRPr="00E36CCD">
        <w:rPr>
          <w:i/>
          <w:szCs w:val="24"/>
          <w:lang w:val="es-AR" w:eastAsia="es-AR"/>
        </w:rPr>
        <w:t>”</w:t>
      </w:r>
    </w:p>
    <w:p w:rsidR="00AF6C23" w:rsidRPr="00E90A47" w:rsidRDefault="00AF6C23" w:rsidP="00AF6C23">
      <w:pPr>
        <w:spacing w:line="360" w:lineRule="auto"/>
        <w:rPr>
          <w:i/>
          <w:szCs w:val="24"/>
          <w:lang w:val="es-AR" w:eastAsia="es-AR"/>
        </w:rPr>
      </w:pPr>
    </w:p>
    <w:p w:rsidR="00AF6C23" w:rsidRPr="00E90A47" w:rsidRDefault="00AF6C23" w:rsidP="00AF6C23">
      <w:pPr>
        <w:spacing w:line="360" w:lineRule="auto"/>
        <w:rPr>
          <w:iCs/>
          <w:szCs w:val="24"/>
          <w:lang w:val="es-AR" w:eastAsia="es-AR"/>
        </w:rPr>
      </w:pPr>
      <w:r w:rsidRPr="00E90A47">
        <w:rPr>
          <w:b/>
          <w:bCs/>
          <w:iCs/>
          <w:szCs w:val="24"/>
          <w:lang w:val="es-AR" w:eastAsia="es-AR"/>
        </w:rPr>
        <w:t>Artículo 4</w:t>
      </w:r>
      <w:proofErr w:type="gramStart"/>
      <w:r w:rsidRPr="00E90A47">
        <w:rPr>
          <w:b/>
          <w:bCs/>
          <w:iCs/>
          <w:szCs w:val="24"/>
          <w:lang w:val="es-AR" w:eastAsia="es-AR"/>
        </w:rPr>
        <w:t>°.-</w:t>
      </w:r>
      <w:proofErr w:type="gramEnd"/>
      <w:r w:rsidRPr="00E90A47">
        <w:rPr>
          <w:iCs/>
          <w:szCs w:val="24"/>
          <w:lang w:val="es-AR" w:eastAsia="es-AR"/>
        </w:rPr>
        <w:t xml:space="preserve"> Incorpórese  el artículo </w:t>
      </w:r>
      <w:r w:rsidRPr="00E36CCD">
        <w:rPr>
          <w:iCs/>
          <w:szCs w:val="24"/>
          <w:lang w:val="es-AR" w:eastAsia="es-AR"/>
        </w:rPr>
        <w:t>124</w:t>
      </w:r>
      <w:r w:rsidRPr="00E90A47">
        <w:rPr>
          <w:iCs/>
          <w:szCs w:val="24"/>
          <w:lang w:val="es-AR" w:eastAsia="es-AR"/>
        </w:rPr>
        <w:t xml:space="preserve"> bis del Reglamento, que quedará redactado de la siguiente manera:</w:t>
      </w:r>
    </w:p>
    <w:p w:rsidR="00AF6C23" w:rsidRPr="00E90A47" w:rsidRDefault="00AF6C23" w:rsidP="00AF6C23">
      <w:pPr>
        <w:spacing w:line="360" w:lineRule="auto"/>
        <w:rPr>
          <w:i/>
          <w:szCs w:val="24"/>
          <w:lang w:val="es-AR" w:eastAsia="es-AR"/>
        </w:rPr>
      </w:pPr>
    </w:p>
    <w:p w:rsidR="00AF6C23" w:rsidRPr="00E90A47" w:rsidRDefault="00AF6C23" w:rsidP="00AF6C23">
      <w:pPr>
        <w:spacing w:line="360" w:lineRule="auto"/>
        <w:rPr>
          <w:i/>
          <w:szCs w:val="24"/>
          <w:lang w:val="es-AR" w:eastAsia="es-AR"/>
        </w:rPr>
      </w:pPr>
      <w:r w:rsidRPr="00E90A47">
        <w:rPr>
          <w:i/>
          <w:szCs w:val="24"/>
          <w:lang w:val="es-AR" w:eastAsia="es-AR"/>
        </w:rPr>
        <w:t>"ARTICULO 124 bis. Discapacidad. Compete a la Comisión de Discapacidad dictaminar sobre todo asunto vinculado a la defensa de los derechos de las personas con discapacidad, conforme a la Ley N° 447 y al artículo 42 de la Constitución de la Ciudad.”</w:t>
      </w:r>
    </w:p>
    <w:p w:rsidR="00AF6C23" w:rsidRPr="00E90A47" w:rsidRDefault="00AF6C23" w:rsidP="00AF6C23">
      <w:pPr>
        <w:spacing w:line="360" w:lineRule="auto"/>
        <w:rPr>
          <w:i/>
          <w:szCs w:val="24"/>
          <w:lang w:val="es-AR" w:eastAsia="es-AR"/>
        </w:rPr>
      </w:pPr>
    </w:p>
    <w:p w:rsidR="00AF6C23" w:rsidRPr="00E90A47" w:rsidRDefault="00AF6C23" w:rsidP="00AF6C23">
      <w:pPr>
        <w:spacing w:line="360" w:lineRule="auto"/>
        <w:ind w:right="618"/>
        <w:rPr>
          <w:szCs w:val="24"/>
          <w:lang w:val="es-AR" w:eastAsia="es-AR"/>
        </w:rPr>
      </w:pPr>
      <w:r w:rsidRPr="00E90A47">
        <w:rPr>
          <w:b/>
          <w:szCs w:val="24"/>
          <w:lang w:val="es-AR" w:eastAsia="es-AR"/>
        </w:rPr>
        <w:t>Artículo 5</w:t>
      </w:r>
      <w:proofErr w:type="gramStart"/>
      <w:r w:rsidRPr="00E90A47">
        <w:rPr>
          <w:b/>
          <w:szCs w:val="24"/>
          <w:lang w:val="es-AR" w:eastAsia="es-AR"/>
        </w:rPr>
        <w:t>°.</w:t>
      </w:r>
      <w:r w:rsidRPr="00E90A47">
        <w:rPr>
          <w:szCs w:val="24"/>
          <w:lang w:val="es-AR" w:eastAsia="es-AR"/>
        </w:rPr>
        <w:t>-</w:t>
      </w:r>
      <w:proofErr w:type="gramEnd"/>
      <w:r w:rsidRPr="00E90A47">
        <w:rPr>
          <w:szCs w:val="24"/>
          <w:lang w:val="es-AR" w:eastAsia="es-AR"/>
        </w:rPr>
        <w:t xml:space="preserve"> </w:t>
      </w:r>
      <w:proofErr w:type="spellStart"/>
      <w:r w:rsidRPr="00E90A47">
        <w:rPr>
          <w:szCs w:val="24"/>
          <w:lang w:val="es-AR" w:eastAsia="es-AR"/>
        </w:rPr>
        <w:t>Modifícase</w:t>
      </w:r>
      <w:proofErr w:type="spellEnd"/>
      <w:r w:rsidRPr="00E90A47">
        <w:rPr>
          <w:szCs w:val="24"/>
          <w:lang w:val="es-AR" w:eastAsia="es-AR"/>
        </w:rPr>
        <w:t xml:space="preserve">  el artículo 125 del Reglamento, que quedará redactado de la siguiente manera:</w:t>
      </w:r>
    </w:p>
    <w:p w:rsidR="00AF6C23" w:rsidRPr="00E90A47" w:rsidRDefault="00AF6C23" w:rsidP="00AF6C23">
      <w:pPr>
        <w:spacing w:line="360" w:lineRule="auto"/>
        <w:ind w:right="618"/>
        <w:rPr>
          <w:i/>
          <w:szCs w:val="24"/>
          <w:lang w:val="es-AR" w:eastAsia="es-AR"/>
        </w:rPr>
      </w:pPr>
    </w:p>
    <w:p w:rsidR="00AF6C23" w:rsidRPr="00E90A47" w:rsidRDefault="00AF6C23" w:rsidP="00AF6C23">
      <w:pPr>
        <w:spacing w:line="360" w:lineRule="auto"/>
        <w:ind w:right="618"/>
        <w:rPr>
          <w:i/>
          <w:szCs w:val="24"/>
          <w:lang w:val="es-AR" w:eastAsia="es-AR"/>
        </w:rPr>
      </w:pPr>
      <w:r w:rsidRPr="00E90A47">
        <w:rPr>
          <w:i/>
          <w:szCs w:val="24"/>
          <w:lang w:val="es-AR" w:eastAsia="es-AR"/>
        </w:rPr>
        <w:t>“ARTÍCULO  125: Mujeres, Géneros y Diversidades. Compete a la Comisión de Mujeres, Géneros y Diversidades dictaminar sobre todo asunto vinculado a las mujeres, los géneros, la igualdad de oportunidades y de trato entre los mismos y el reconocimiento y el respeto por las diversidades, de acuerdo a lo establecido en los artículos 36, 37 y 38 de la Constitución de la Ciudad, así como con el cumplimiento de la normativa e instrumentos internacionales referidos a estos temas.”</w:t>
      </w:r>
    </w:p>
    <w:p w:rsidR="00AF6C23" w:rsidRPr="00E90A47" w:rsidRDefault="00AF6C23" w:rsidP="00AF6C23">
      <w:pPr>
        <w:spacing w:line="360" w:lineRule="auto"/>
        <w:ind w:right="618"/>
        <w:rPr>
          <w:i/>
          <w:szCs w:val="24"/>
          <w:lang w:val="es-AR" w:eastAsia="es-AR"/>
        </w:rPr>
      </w:pPr>
    </w:p>
    <w:p w:rsidR="00AF6C23" w:rsidRPr="00E90A47" w:rsidRDefault="00AF6C23" w:rsidP="00AF6C23">
      <w:pPr>
        <w:spacing w:line="360" w:lineRule="auto"/>
        <w:ind w:right="618"/>
        <w:rPr>
          <w:szCs w:val="24"/>
          <w:lang w:val="es-AR" w:eastAsia="es-AR"/>
        </w:rPr>
      </w:pPr>
      <w:r w:rsidRPr="00E90A47">
        <w:rPr>
          <w:b/>
          <w:szCs w:val="24"/>
          <w:lang w:val="es-AR" w:eastAsia="es-AR"/>
        </w:rPr>
        <w:t>Artículo 6</w:t>
      </w:r>
      <w:proofErr w:type="gramStart"/>
      <w:r w:rsidRPr="00E90A47">
        <w:rPr>
          <w:b/>
          <w:szCs w:val="24"/>
          <w:lang w:val="es-AR" w:eastAsia="es-AR"/>
        </w:rPr>
        <w:t>°</w:t>
      </w:r>
      <w:r w:rsidRPr="00E90A47">
        <w:rPr>
          <w:szCs w:val="24"/>
          <w:lang w:val="es-AR" w:eastAsia="es-AR"/>
        </w:rPr>
        <w:t>.-</w:t>
      </w:r>
      <w:proofErr w:type="gramEnd"/>
      <w:r w:rsidRPr="00E90A47">
        <w:rPr>
          <w:szCs w:val="24"/>
          <w:lang w:val="es-AR" w:eastAsia="es-AR"/>
        </w:rPr>
        <w:t xml:space="preserve"> Incorpórese  el artículo 125 bis del Reglamento, que quedará redactado de la siguiente manera:</w:t>
      </w:r>
    </w:p>
    <w:p w:rsidR="00AF6C23" w:rsidRPr="00E90A47" w:rsidRDefault="00AF6C23" w:rsidP="00AF6C23">
      <w:pPr>
        <w:spacing w:line="360" w:lineRule="auto"/>
        <w:ind w:right="618"/>
        <w:rPr>
          <w:szCs w:val="24"/>
          <w:lang w:val="es-AR" w:eastAsia="es-AR"/>
        </w:rPr>
      </w:pPr>
    </w:p>
    <w:p w:rsidR="00AF6C23" w:rsidRPr="00E90A47" w:rsidRDefault="00AF6C23" w:rsidP="00AF6C23">
      <w:pPr>
        <w:spacing w:line="360" w:lineRule="auto"/>
        <w:ind w:right="618"/>
        <w:rPr>
          <w:i/>
          <w:szCs w:val="24"/>
          <w:lang w:val="es-AR" w:eastAsia="es-AR"/>
        </w:rPr>
      </w:pPr>
      <w:r w:rsidRPr="00E90A47">
        <w:rPr>
          <w:i/>
          <w:szCs w:val="24"/>
          <w:lang w:val="es-AR" w:eastAsia="es-AR"/>
        </w:rPr>
        <w:t>"ARTICULO 125 bis. Niñez, Adolescencia y Juventud. Compete a la Comisión de Niñez, Adolescencia y Juventud dictaminar sobre todo asunto vinculado a los niños, niñas y adolescentes, conforme a lo establecido en el artículo 39 de la Constitución de la Ciudad y con la Juventud, de acuerdo a lo previsto en el artículo 40 de la Constitución de la Ciudad, así como el cumplimiento de los Tratados Internacionales referidos a estos temas.</w:t>
      </w:r>
      <w:r w:rsidRPr="00E36CCD">
        <w:rPr>
          <w:i/>
          <w:szCs w:val="24"/>
          <w:lang w:val="es-AR" w:eastAsia="es-AR"/>
        </w:rPr>
        <w:t>”</w:t>
      </w:r>
    </w:p>
    <w:p w:rsidR="00AF6C23" w:rsidRPr="00E90A47" w:rsidRDefault="00AF6C23" w:rsidP="00AF6C23">
      <w:pPr>
        <w:spacing w:line="360" w:lineRule="auto"/>
        <w:rPr>
          <w:szCs w:val="24"/>
          <w:lang w:val="es-AR" w:eastAsia="es-AR"/>
        </w:rPr>
      </w:pPr>
    </w:p>
    <w:p w:rsidR="00AF6C23" w:rsidRPr="00E90A47" w:rsidRDefault="00AF6C23" w:rsidP="00AF6C23">
      <w:pPr>
        <w:spacing w:line="360" w:lineRule="auto"/>
        <w:ind w:right="618"/>
        <w:rPr>
          <w:szCs w:val="24"/>
          <w:lang w:val="es-AR" w:eastAsia="es-AR"/>
        </w:rPr>
      </w:pPr>
      <w:r w:rsidRPr="00E90A47">
        <w:rPr>
          <w:b/>
          <w:szCs w:val="24"/>
          <w:lang w:val="es-AR" w:eastAsia="es-AR"/>
        </w:rPr>
        <w:t>Artículo 7</w:t>
      </w:r>
      <w:proofErr w:type="gramStart"/>
      <w:r w:rsidRPr="00E90A47">
        <w:rPr>
          <w:b/>
          <w:szCs w:val="24"/>
          <w:lang w:val="es-AR" w:eastAsia="es-AR"/>
        </w:rPr>
        <w:t>°</w:t>
      </w:r>
      <w:r w:rsidRPr="00E90A47">
        <w:rPr>
          <w:szCs w:val="24"/>
          <w:lang w:val="es-AR" w:eastAsia="es-AR"/>
        </w:rPr>
        <w:t>.-</w:t>
      </w:r>
      <w:proofErr w:type="gramEnd"/>
      <w:r w:rsidRPr="00E90A47">
        <w:rPr>
          <w:szCs w:val="24"/>
          <w:lang w:val="es-AR" w:eastAsia="es-AR"/>
        </w:rPr>
        <w:t xml:space="preserve"> </w:t>
      </w:r>
      <w:proofErr w:type="spellStart"/>
      <w:r w:rsidRPr="00E90A47">
        <w:rPr>
          <w:szCs w:val="24"/>
          <w:lang w:val="es-AR" w:eastAsia="es-AR"/>
        </w:rPr>
        <w:t>Derógase</w:t>
      </w:r>
      <w:proofErr w:type="spellEnd"/>
      <w:r w:rsidRPr="00E90A47">
        <w:rPr>
          <w:szCs w:val="24"/>
          <w:lang w:val="es-AR" w:eastAsia="es-AR"/>
        </w:rPr>
        <w:t xml:space="preserve"> la Resolución N° 209/2019.</w:t>
      </w:r>
    </w:p>
    <w:p w:rsidR="00AF6C23" w:rsidRPr="00E90A47" w:rsidRDefault="00AF6C23" w:rsidP="00AF6C23">
      <w:pPr>
        <w:spacing w:line="360" w:lineRule="auto"/>
        <w:ind w:right="618"/>
        <w:rPr>
          <w:szCs w:val="24"/>
          <w:lang w:val="es-AR" w:eastAsia="es-AR"/>
        </w:rPr>
      </w:pPr>
    </w:p>
    <w:p w:rsidR="00AF6C23" w:rsidRPr="00E90A47" w:rsidRDefault="00AF6C23" w:rsidP="00AF6C23">
      <w:pPr>
        <w:pBdr>
          <w:top w:val="nil"/>
          <w:left w:val="nil"/>
          <w:bottom w:val="nil"/>
          <w:right w:val="nil"/>
          <w:between w:val="nil"/>
        </w:pBdr>
        <w:spacing w:after="160" w:line="360" w:lineRule="auto"/>
        <w:jc w:val="left"/>
        <w:rPr>
          <w:color w:val="000000"/>
          <w:szCs w:val="24"/>
          <w:lang w:val="es-AR" w:eastAsia="es-AR"/>
        </w:rPr>
      </w:pPr>
      <w:r w:rsidRPr="00E90A47">
        <w:rPr>
          <w:b/>
          <w:color w:val="000000"/>
          <w:szCs w:val="24"/>
          <w:lang w:val="es-AR" w:eastAsia="es-AR"/>
        </w:rPr>
        <w:t xml:space="preserve">Artículo </w:t>
      </w:r>
      <w:r w:rsidRPr="00E90A47">
        <w:rPr>
          <w:b/>
          <w:szCs w:val="24"/>
          <w:lang w:val="es-AR" w:eastAsia="es-AR"/>
        </w:rPr>
        <w:t>8</w:t>
      </w:r>
      <w:r w:rsidRPr="00E90A47">
        <w:rPr>
          <w:b/>
          <w:color w:val="000000"/>
          <w:szCs w:val="24"/>
          <w:lang w:val="es-AR" w:eastAsia="es-AR"/>
        </w:rPr>
        <w:t>°.</w:t>
      </w:r>
      <w:r w:rsidRPr="00E90A47">
        <w:rPr>
          <w:color w:val="000000"/>
          <w:szCs w:val="24"/>
          <w:lang w:val="es-AR" w:eastAsia="es-AR"/>
        </w:rPr>
        <w:t xml:space="preserve"> -</w:t>
      </w:r>
      <w:r w:rsidRPr="00E90A47">
        <w:rPr>
          <w:b/>
          <w:color w:val="000000"/>
          <w:szCs w:val="24"/>
          <w:lang w:val="es-AR" w:eastAsia="es-AR"/>
        </w:rPr>
        <w:t xml:space="preserve"> </w:t>
      </w:r>
      <w:r w:rsidRPr="00E90A47">
        <w:rPr>
          <w:color w:val="000000"/>
          <w:szCs w:val="24"/>
          <w:lang w:val="es-AR" w:eastAsia="es-AR"/>
        </w:rPr>
        <w:t xml:space="preserve"> Comuníquese, etc.</w:t>
      </w:r>
    </w:p>
    <w:p w:rsidR="00686513" w:rsidRDefault="00686513">
      <w:pPr>
        <w:jc w:val="left"/>
        <w:rPr>
          <w:b/>
          <w:color w:val="000000"/>
          <w:szCs w:val="24"/>
          <w:lang w:val="es-AR" w:eastAsia="es-AR"/>
        </w:rPr>
      </w:pPr>
      <w:r>
        <w:rPr>
          <w:b/>
          <w:color w:val="000000"/>
          <w:szCs w:val="24"/>
          <w:lang w:val="es-AR" w:eastAsia="es-AR"/>
        </w:rPr>
        <w:br w:type="page"/>
      </w:r>
    </w:p>
    <w:p w:rsidR="00AF6C23" w:rsidRPr="00E90A47" w:rsidRDefault="00AF6C23" w:rsidP="00AF6C23">
      <w:pPr>
        <w:pBdr>
          <w:top w:val="nil"/>
          <w:left w:val="nil"/>
          <w:bottom w:val="nil"/>
          <w:right w:val="nil"/>
          <w:between w:val="nil"/>
        </w:pBdr>
        <w:spacing w:after="160" w:line="360" w:lineRule="auto"/>
        <w:ind w:left="2267"/>
        <w:rPr>
          <w:b/>
          <w:color w:val="000000"/>
          <w:szCs w:val="24"/>
          <w:lang w:val="es-AR" w:eastAsia="es-AR"/>
        </w:rPr>
      </w:pPr>
      <w:r w:rsidRPr="00E90A47">
        <w:rPr>
          <w:b/>
          <w:color w:val="000000"/>
          <w:szCs w:val="24"/>
          <w:lang w:val="es-AR" w:eastAsia="es-AR"/>
        </w:rPr>
        <w:lastRenderedPageBreak/>
        <w:t>FUNDAMENTOS</w:t>
      </w:r>
    </w:p>
    <w:p w:rsidR="00AF6C23" w:rsidRPr="00E90A47" w:rsidRDefault="00AF6C23" w:rsidP="00AF6C23">
      <w:pPr>
        <w:pBdr>
          <w:top w:val="nil"/>
          <w:left w:val="nil"/>
          <w:bottom w:val="nil"/>
          <w:right w:val="nil"/>
          <w:between w:val="nil"/>
        </w:pBdr>
        <w:spacing w:after="160" w:line="360" w:lineRule="auto"/>
        <w:jc w:val="left"/>
        <w:rPr>
          <w:color w:val="000000"/>
          <w:szCs w:val="24"/>
          <w:lang w:val="es-AR" w:eastAsia="es-AR"/>
        </w:rPr>
      </w:pPr>
      <w:r w:rsidRPr="00E90A47">
        <w:rPr>
          <w:color w:val="000000"/>
          <w:szCs w:val="24"/>
          <w:lang w:val="es-AR" w:eastAsia="es-AR"/>
        </w:rPr>
        <w:t xml:space="preserve">Sr. Presidente: </w:t>
      </w:r>
    </w:p>
    <w:p w:rsidR="00AF6C23" w:rsidRPr="00E90A47" w:rsidRDefault="00AF6C23" w:rsidP="00AF6C23">
      <w:pPr>
        <w:pBdr>
          <w:top w:val="nil"/>
          <w:left w:val="nil"/>
          <w:bottom w:val="nil"/>
          <w:right w:val="nil"/>
          <w:between w:val="nil"/>
        </w:pBdr>
        <w:spacing w:after="160" w:line="360" w:lineRule="auto"/>
        <w:rPr>
          <w:color w:val="000000"/>
          <w:szCs w:val="24"/>
          <w:lang w:val="es-AR" w:eastAsia="es-AR"/>
        </w:rPr>
      </w:pPr>
      <w:bookmarkStart w:id="1" w:name="_30j0zll" w:colFirst="0" w:colLast="0"/>
      <w:bookmarkEnd w:id="1"/>
      <w:r w:rsidRPr="00E90A47">
        <w:rPr>
          <w:color w:val="000000"/>
          <w:szCs w:val="24"/>
          <w:lang w:val="es-AR" w:eastAsia="es-AR"/>
        </w:rPr>
        <w:tab/>
        <w:t xml:space="preserve">El presente proyecto tiene como antecedentes </w:t>
      </w:r>
      <w:r w:rsidRPr="00E90A47">
        <w:rPr>
          <w:szCs w:val="24"/>
          <w:lang w:val="es-AR" w:eastAsia="es-AR"/>
        </w:rPr>
        <w:t xml:space="preserve">los expedientes 1920-D-2020, 229-D-2021 de autoría de la diputada Lucía Romano, los expedientes 746-D-2020 y 300-D-2021 de la diputada Manuela </w:t>
      </w:r>
      <w:proofErr w:type="spellStart"/>
      <w:r w:rsidRPr="00E90A47">
        <w:rPr>
          <w:szCs w:val="24"/>
          <w:lang w:val="es-AR" w:eastAsia="es-AR"/>
        </w:rPr>
        <w:t>Thourte</w:t>
      </w:r>
      <w:proofErr w:type="spellEnd"/>
      <w:r w:rsidRPr="00E90A47">
        <w:rPr>
          <w:szCs w:val="24"/>
          <w:lang w:val="es-AR" w:eastAsia="es-AR"/>
        </w:rPr>
        <w:t xml:space="preserve">, y el expediente número 2-D-2021 de autoría de la diputada María </w:t>
      </w:r>
      <w:proofErr w:type="spellStart"/>
      <w:r w:rsidRPr="00E90A47">
        <w:rPr>
          <w:szCs w:val="24"/>
          <w:lang w:val="es-AR" w:eastAsia="es-AR"/>
        </w:rPr>
        <w:t>Bielli</w:t>
      </w:r>
      <w:proofErr w:type="spellEnd"/>
      <w:r w:rsidRPr="00E90A47">
        <w:rPr>
          <w:szCs w:val="24"/>
          <w:lang w:val="es-AR" w:eastAsia="es-AR"/>
        </w:rPr>
        <w:t>. Los mismos</w:t>
      </w:r>
      <w:r w:rsidRPr="00E90A47">
        <w:rPr>
          <w:color w:val="000000"/>
          <w:szCs w:val="24"/>
          <w:lang w:val="es-AR" w:eastAsia="es-AR"/>
        </w:rPr>
        <w:t xml:space="preserve"> proponen modificar el reglamento interno de esta Legislatura, con el fin de desglosar la actual comisión permanente de Mujer, Infancia, Adolescencia y Juventud en dos distintas e independientes, y modificar sus denominaciones, las cuales quedarían conformadas del siguiente modo: por un lado, la comisión permanente de Mujer, Géneros y </w:t>
      </w:r>
      <w:r w:rsidRPr="00E90A47">
        <w:rPr>
          <w:szCs w:val="24"/>
          <w:lang w:val="es-AR" w:eastAsia="es-AR"/>
        </w:rPr>
        <w:t>Diversidades</w:t>
      </w:r>
      <w:r w:rsidRPr="00E90A47">
        <w:rPr>
          <w:color w:val="000000"/>
          <w:szCs w:val="24"/>
          <w:lang w:val="es-AR" w:eastAsia="es-AR"/>
        </w:rPr>
        <w:t xml:space="preserve">, y por el otro la de Niñez, Adolescencia y Juventud. Esta separación es necesaria dado el escenario actual, donde por un lado estamos debatiendo y bregando por la emancipación y la igualdad real de oportunidades de la mujer en todos los planos, y por el otro jerarquizando y visibilizando las problemáticas y asuntos propios de los niños, niñas, adolescentes y jóvenes. </w:t>
      </w:r>
    </w:p>
    <w:p w:rsidR="00AF6C23" w:rsidRPr="00E90A47" w:rsidRDefault="00AF6C23" w:rsidP="00AF6C23">
      <w:pPr>
        <w:pBdr>
          <w:top w:val="nil"/>
          <w:left w:val="nil"/>
          <w:bottom w:val="nil"/>
          <w:right w:val="nil"/>
          <w:between w:val="nil"/>
        </w:pBdr>
        <w:spacing w:after="160" w:line="360" w:lineRule="auto"/>
        <w:rPr>
          <w:szCs w:val="24"/>
          <w:lang w:val="es-AR" w:eastAsia="es-AR"/>
        </w:rPr>
      </w:pPr>
      <w:bookmarkStart w:id="2" w:name="_1fob9te" w:colFirst="0" w:colLast="0"/>
      <w:bookmarkEnd w:id="2"/>
      <w:r w:rsidRPr="00E90A47">
        <w:rPr>
          <w:color w:val="000000"/>
          <w:szCs w:val="24"/>
          <w:lang w:val="es-AR" w:eastAsia="es-AR"/>
        </w:rPr>
        <w:tab/>
        <w:t xml:space="preserve">La comisión de Mujeres, Géneros y </w:t>
      </w:r>
      <w:r w:rsidRPr="00E90A47">
        <w:rPr>
          <w:szCs w:val="24"/>
          <w:lang w:val="es-AR" w:eastAsia="es-AR"/>
        </w:rPr>
        <w:t>Diversidades</w:t>
      </w:r>
      <w:r w:rsidRPr="00E90A47">
        <w:rPr>
          <w:color w:val="000000"/>
          <w:szCs w:val="24"/>
          <w:lang w:val="es-AR" w:eastAsia="es-AR"/>
        </w:rPr>
        <w:t xml:space="preserve"> pone en relevancia tres cuestiones fundamentales: reconoce, destaca y visibiliza el rol de las mujeres en la conquista y ampliación de los derechos del colectivo, y honra la lucha de todas las que pusieron el cuerpo para lograr una sociedad más igualitaria; pone en escena otras forma alternativas de género, contemplando las identidades de género diversas, lesbianas, travestis, transexuales, </w:t>
      </w:r>
      <w:proofErr w:type="spellStart"/>
      <w:r w:rsidRPr="00E90A47">
        <w:rPr>
          <w:color w:val="000000"/>
          <w:szCs w:val="24"/>
          <w:lang w:val="es-AR" w:eastAsia="es-AR"/>
        </w:rPr>
        <w:t>transgénero</w:t>
      </w:r>
      <w:proofErr w:type="spellEnd"/>
      <w:r w:rsidRPr="00E90A47">
        <w:rPr>
          <w:color w:val="000000"/>
          <w:szCs w:val="24"/>
          <w:lang w:val="es-AR" w:eastAsia="es-AR"/>
        </w:rPr>
        <w:t xml:space="preserve">, </w:t>
      </w:r>
      <w:proofErr w:type="spellStart"/>
      <w:r w:rsidRPr="00E90A47">
        <w:rPr>
          <w:color w:val="000000"/>
          <w:szCs w:val="24"/>
          <w:lang w:val="es-AR" w:eastAsia="es-AR"/>
        </w:rPr>
        <w:t>intersex</w:t>
      </w:r>
      <w:proofErr w:type="spellEnd"/>
      <w:r w:rsidRPr="00E90A47">
        <w:rPr>
          <w:color w:val="000000"/>
          <w:szCs w:val="24"/>
          <w:lang w:val="es-AR" w:eastAsia="es-AR"/>
        </w:rPr>
        <w:t xml:space="preserve">, bisexuales, no </w:t>
      </w:r>
      <w:proofErr w:type="spellStart"/>
      <w:r w:rsidRPr="00E90A47">
        <w:rPr>
          <w:color w:val="000000"/>
          <w:szCs w:val="24"/>
          <w:lang w:val="es-AR" w:eastAsia="es-AR"/>
        </w:rPr>
        <w:t>binaries</w:t>
      </w:r>
      <w:proofErr w:type="spellEnd"/>
      <w:r w:rsidRPr="00E90A47">
        <w:rPr>
          <w:color w:val="000000"/>
          <w:szCs w:val="24"/>
          <w:lang w:val="es-AR" w:eastAsia="es-AR"/>
        </w:rPr>
        <w:t>, andróginos, entre otras</w:t>
      </w:r>
      <w:r w:rsidRPr="00E90A47">
        <w:rPr>
          <w:szCs w:val="24"/>
          <w:lang w:val="es-AR" w:eastAsia="es-AR"/>
        </w:rPr>
        <w:t>.</w:t>
      </w:r>
    </w:p>
    <w:p w:rsidR="00AF6C23" w:rsidRPr="00E90A47" w:rsidRDefault="00AF6C23" w:rsidP="00AF6C23">
      <w:pPr>
        <w:pBdr>
          <w:top w:val="nil"/>
          <w:left w:val="nil"/>
          <w:bottom w:val="nil"/>
          <w:right w:val="nil"/>
          <w:between w:val="nil"/>
        </w:pBdr>
        <w:spacing w:after="160" w:line="360" w:lineRule="auto"/>
        <w:rPr>
          <w:color w:val="000000"/>
          <w:szCs w:val="24"/>
          <w:lang w:val="es-AR" w:eastAsia="es-AR"/>
        </w:rPr>
      </w:pPr>
      <w:bookmarkStart w:id="3" w:name="_3znysh7" w:colFirst="0" w:colLast="0"/>
      <w:bookmarkEnd w:id="3"/>
      <w:r w:rsidRPr="00E90A47">
        <w:rPr>
          <w:color w:val="000000"/>
          <w:szCs w:val="24"/>
          <w:lang w:val="es-AR" w:eastAsia="es-AR"/>
        </w:rPr>
        <w:t xml:space="preserve"> La cuestión de género debe tener un enfoque que apunte directamente a la equidad y que ponga en debate cuestiones referidas a la igualdad de oportunidades, sin relegar otras temáticas pertinentes y relacionadas. El nombre actual de la comisión plantea y enmascara un vínculo exclusivo entre la mujer, los niños, niñas, adolescentes y jóvenes que resulta extemporáneo ya que pertenece a una época donde la mujer era la encargada y responsable de la crianza y el ámbito doméstico. Hoy las problemáticas de las mujeres son otras y deben ser jerarquizadas en consonancia con el cambio cultural que hace décadas se viene dando. Por otra parte, la población que comprende a los niños, niñas, adolescentes y jóvenes merece un tratamiento exclusivo donde se tenga como guía el cumplimiento de sus derechos, la evaluación de sus problemáticas y necesidades específicas con todas sus complejidades.</w:t>
      </w:r>
    </w:p>
    <w:p w:rsidR="00AF6C23" w:rsidRPr="00E90A47" w:rsidRDefault="00AF6C23" w:rsidP="00AF6C23">
      <w:pPr>
        <w:pBdr>
          <w:top w:val="nil"/>
          <w:left w:val="nil"/>
          <w:bottom w:val="nil"/>
          <w:right w:val="nil"/>
          <w:between w:val="nil"/>
        </w:pBdr>
        <w:spacing w:after="160" w:line="360" w:lineRule="auto"/>
        <w:rPr>
          <w:color w:val="000000"/>
          <w:szCs w:val="24"/>
          <w:lang w:val="es-AR" w:eastAsia="es-AR"/>
        </w:rPr>
      </w:pPr>
      <w:bookmarkStart w:id="4" w:name="_2et92p0" w:colFirst="0" w:colLast="0"/>
      <w:bookmarkEnd w:id="4"/>
      <w:r w:rsidRPr="00E90A47">
        <w:rPr>
          <w:color w:val="000000"/>
          <w:szCs w:val="24"/>
          <w:lang w:val="es-AR" w:eastAsia="es-AR"/>
        </w:rPr>
        <w:tab/>
        <w:t xml:space="preserve">En cuanto a la construcción de la mujer desde hace años, se viene dando un cambio no solo en el plano jurídico-legal, sino a nivel cultural con giros profundos en cuanto a modos, creencias, usos y costumbres que contrastan con conceptos anteriores. La lucha </w:t>
      </w:r>
      <w:r w:rsidRPr="00E90A47">
        <w:rPr>
          <w:color w:val="000000"/>
          <w:szCs w:val="24"/>
          <w:lang w:val="es-AR" w:eastAsia="es-AR"/>
        </w:rPr>
        <w:lastRenderedPageBreak/>
        <w:t>por el acceso al voto, la educación y el trabajo, comienzan a darle forma a este nuevo constructo social “mujer” que rebalsa el ámbito privado y se vuelca a lo público, ganando oportunidades para desempeñar otros roles, distanciados de los exclusivamente asociados a lo familiar. Leyes como la N</w:t>
      </w:r>
      <w:r w:rsidRPr="00E90A47">
        <w:rPr>
          <w:b/>
          <w:color w:val="000000"/>
          <w:szCs w:val="24"/>
          <w:lang w:val="es-AR" w:eastAsia="es-AR"/>
        </w:rPr>
        <w:t>°</w:t>
      </w:r>
      <w:r w:rsidRPr="00E90A47">
        <w:rPr>
          <w:color w:val="000000"/>
          <w:szCs w:val="24"/>
          <w:lang w:val="es-AR" w:eastAsia="es-AR"/>
        </w:rPr>
        <w:t xml:space="preserve"> 13.010, que estableció que las mujeres gozaban de los mismos derechos políticos y estaban sujetas a las mismas obligaciones que los varones; la patria potestad compartida (ley Nº 23.264); la del Divorcio Vincular; más actualmente la de Paridad de Género en Ámbitos de Representación Política (ley nacional N° 27.412); todas las normativas, en las distintas jurisdicciones, contra toda forma de violencia hacia las mujeres; la de Identidad de Género (ley nacional N° 26.743); o el Matrimonio Igualitario (ley nacional N° 26.618), se constituyen como respuestas ante la pregunta del rol de la mujer en la sociedad, al mismo tiempo que son una deconstrucción del constructo “mujer, madre, femenino y heterosexual” y pilares de un paradigma extemporáneo. De esta manera nos encontramos en el proceso de reconstrucción, y la separación de la comisión en dos espacios independientes, decanta ante el avance de nuevas concepciones, teorías y paradigmas. Lejos de llegar a un destino o cumplir con un objetivo, es importante darle jerarquía a este colectivo, re pensando y actuando en pos de lograr equidad, igualdad de derechos y oportunidades.</w:t>
      </w:r>
    </w:p>
    <w:p w:rsidR="00AF6C23" w:rsidRPr="00E90A47" w:rsidRDefault="00AF6C23" w:rsidP="00AF6C23">
      <w:pPr>
        <w:pBdr>
          <w:top w:val="nil"/>
          <w:left w:val="nil"/>
          <w:bottom w:val="nil"/>
          <w:right w:val="nil"/>
          <w:between w:val="nil"/>
        </w:pBdr>
        <w:spacing w:after="160" w:line="360" w:lineRule="auto"/>
        <w:rPr>
          <w:color w:val="000000"/>
          <w:szCs w:val="24"/>
          <w:lang w:val="es-AR" w:eastAsia="es-AR"/>
        </w:rPr>
      </w:pPr>
      <w:bookmarkStart w:id="5" w:name="_tyjcwt" w:colFirst="0" w:colLast="0"/>
      <w:bookmarkEnd w:id="5"/>
      <w:r w:rsidRPr="00E90A47">
        <w:rPr>
          <w:color w:val="000000"/>
          <w:szCs w:val="24"/>
          <w:highlight w:val="white"/>
          <w:lang w:val="es-AR" w:eastAsia="es-AR"/>
        </w:rPr>
        <w:t xml:space="preserve">La Ciudad de Buenos Aires siempre ha acompañado este avance en las conquistas por la igualdad entre los géneros, tal como lo establece su Constitución en el artículo 36 : “La Ciudad garantiza en el ámbito público y promueve en el privado la igualdad real de oportunidades y trato entre varones y mujeres en el acceso y goce de todos los derechos civiles, políticos, económicos, sociales y culturales, a través de acciones positivas que permitan su ejercicio efectivo en todos los ámbitos, organismos y niveles y que no serán inferiores a las vigentes al tiempo de sanción de esta Constitución”. Esta declaración ha tenido su exposición y correlato en leyes tan importantes como la reforma del régimen de licencias para el sector público, que estableció entre otras modificaciones las licencias por violencia de género e intrafamiliar, y licencias por nacimiento para la persona no gestante. Esta normativa es destacable no solo porque contempla a la persona no gestante como parte de las tareas de cuidado del recién nacido, otorgándole la posibilidad de una licencia amplia, sino también porque promueve la adaptación de la persona gestante a su vida cotidiana y laboral de forma acompañada y respetuosa. Por otro lado, contempla la paternidad/maternidad entre personas del mismo sexo ya que utiliza un lenguaje inclusivo en concordancia con la ley nacional de Matrimonio Igualitario. En otro aspecto, la </w:t>
      </w:r>
      <w:proofErr w:type="gramStart"/>
      <w:r w:rsidRPr="00E90A47">
        <w:rPr>
          <w:color w:val="000000"/>
          <w:szCs w:val="24"/>
          <w:highlight w:val="white"/>
          <w:lang w:val="es-AR" w:eastAsia="es-AR"/>
        </w:rPr>
        <w:t>ley Nº</w:t>
      </w:r>
      <w:proofErr w:type="gramEnd"/>
      <w:r w:rsidRPr="00E90A47">
        <w:rPr>
          <w:color w:val="000000"/>
          <w:szCs w:val="24"/>
          <w:highlight w:val="white"/>
          <w:lang w:val="es-AR" w:eastAsia="es-AR"/>
        </w:rPr>
        <w:t xml:space="preserve"> 1688 de Prevención y Asistencia a Víctimas de Violencia Familiar y Doméstica tiene como “objetivo principal la prevención de la violencia familiar y doméstica, y la definición de acciones para la asistencia integral de sus víctimas, sean estas mujeres, varones, niñas, niños, adolescentes, adultos mayores o personas con necesidades </w:t>
      </w:r>
      <w:r w:rsidRPr="00E90A47">
        <w:rPr>
          <w:color w:val="000000"/>
          <w:szCs w:val="24"/>
          <w:highlight w:val="white"/>
          <w:lang w:val="es-AR" w:eastAsia="es-AR"/>
        </w:rPr>
        <w:lastRenderedPageBreak/>
        <w:t xml:space="preserve">especiales”. </w:t>
      </w:r>
      <w:r w:rsidRPr="00E90A47">
        <w:rPr>
          <w:color w:val="000000"/>
          <w:szCs w:val="24"/>
          <w:lang w:val="es-AR" w:eastAsia="es-AR"/>
        </w:rPr>
        <w:t xml:space="preserve">En estas dos direcciones es que el trabajo debe ser profundizado. Debemos planificar acciones tendientes a establecer una real igualdad de oportunidades. </w:t>
      </w:r>
    </w:p>
    <w:p w:rsidR="00AF6C23" w:rsidRPr="00E90A47" w:rsidRDefault="00AF6C23" w:rsidP="00AF6C23">
      <w:pPr>
        <w:pBdr>
          <w:top w:val="nil"/>
          <w:left w:val="nil"/>
          <w:bottom w:val="nil"/>
          <w:right w:val="nil"/>
          <w:between w:val="nil"/>
        </w:pBdr>
        <w:spacing w:after="160" w:line="360" w:lineRule="auto"/>
        <w:rPr>
          <w:color w:val="000000"/>
          <w:szCs w:val="24"/>
          <w:lang w:val="es-AR" w:eastAsia="es-AR"/>
        </w:rPr>
      </w:pPr>
      <w:bookmarkStart w:id="6" w:name="_3dy6vkm" w:colFirst="0" w:colLast="0"/>
      <w:bookmarkEnd w:id="6"/>
      <w:r w:rsidRPr="00E90A47">
        <w:rPr>
          <w:color w:val="000000"/>
          <w:szCs w:val="24"/>
          <w:lang w:val="es-AR" w:eastAsia="es-AR"/>
        </w:rPr>
        <w:t xml:space="preserve">Por otro lado, los niños, niñas y adolescentes se constituyen como un colectivo vulnerable, cuya vital problemática es que requieren a nivel biológico, emocional, social y político de un otro que los escuche, comprenda y actúe bregando por sus derechos y garantías. A nivel normativo, la </w:t>
      </w:r>
      <w:proofErr w:type="gramStart"/>
      <w:r w:rsidRPr="00E90A47">
        <w:rPr>
          <w:color w:val="000000"/>
          <w:szCs w:val="24"/>
          <w:lang w:val="es-AR" w:eastAsia="es-AR"/>
        </w:rPr>
        <w:t>ley Nº</w:t>
      </w:r>
      <w:proofErr w:type="gramEnd"/>
      <w:r w:rsidRPr="00E90A47">
        <w:rPr>
          <w:color w:val="000000"/>
          <w:szCs w:val="24"/>
          <w:lang w:val="es-AR" w:eastAsia="es-AR"/>
        </w:rPr>
        <w:t xml:space="preserve"> 114, sancionada en el año 1998, de Protección Integral para los Niños, Niñas y Adolescentes, enmarca y delimita el actuar del estado en lo inherente a este grupo, en consonancia con el artículo 39 de la Constitución de la Ciudad que “reconoce a los niños, niñas y adolescentes como sujetos activos de sus derechos, les garantiza su protección integral y deben ser informados, consultados y escuchados. Se respeta su intimidad y privacidad. Cuando se hallen afectados o amenazados pueden por sí requerir intervención de los organismos competentes”. A nivel nacional la ley 26.061, sancionada en el 2005, tiene por objeto “la protección integral de los derechos de las niñas, niños y adolescentes que se encuentren en el territorio de la República Argentina, para garantizar el ejercicio y disfrute pleno, efectivo y permanente de aquellos reconocidos en el ordenamiento jurídico nacional y en los tratados internacionales en los que la Nación sea parte”. En el ámbito internacional, la Convención de los Derechos del Niño los reconoce como sujetos plenos de derecho y reafirma el compromiso y la responsabilidad indelegable del Estado en la cuestión. </w:t>
      </w:r>
    </w:p>
    <w:p w:rsidR="00AF6C23" w:rsidRPr="00E90A47" w:rsidRDefault="00AF6C23" w:rsidP="00AF6C23">
      <w:pPr>
        <w:pBdr>
          <w:top w:val="nil"/>
          <w:left w:val="nil"/>
          <w:bottom w:val="nil"/>
          <w:right w:val="nil"/>
          <w:between w:val="nil"/>
        </w:pBdr>
        <w:spacing w:after="160" w:line="360" w:lineRule="auto"/>
        <w:rPr>
          <w:color w:val="000000"/>
          <w:szCs w:val="24"/>
          <w:lang w:val="es-AR" w:eastAsia="es-AR"/>
        </w:rPr>
      </w:pPr>
      <w:bookmarkStart w:id="7" w:name="_1t3h5sf" w:colFirst="0" w:colLast="0"/>
      <w:bookmarkEnd w:id="7"/>
      <w:r w:rsidRPr="00E90A47">
        <w:rPr>
          <w:color w:val="000000"/>
          <w:szCs w:val="24"/>
          <w:lang w:val="es-AR" w:eastAsia="es-AR"/>
        </w:rPr>
        <w:t xml:space="preserve">Al igual que las mujeres, y quizás con mayor dificultad, concebir a los </w:t>
      </w:r>
      <w:proofErr w:type="spellStart"/>
      <w:r w:rsidRPr="00E90A47">
        <w:rPr>
          <w:color w:val="000000"/>
          <w:szCs w:val="24"/>
          <w:lang w:val="es-AR" w:eastAsia="es-AR"/>
        </w:rPr>
        <w:t>NNyA</w:t>
      </w:r>
      <w:proofErr w:type="spellEnd"/>
      <w:r w:rsidRPr="00E90A47">
        <w:rPr>
          <w:color w:val="000000"/>
          <w:szCs w:val="24"/>
          <w:lang w:val="es-AR" w:eastAsia="es-AR"/>
        </w:rPr>
        <w:t xml:space="preserve"> como sujetos de derechos y no como objetos, con voz, opinión y creencias propias, continúa siendo un desafío y, aunque hay avances en la materia, el trabajo continúa siendo necesario. En materia de violencia este grupo también se constituye como potencial víctima de diferentes delitos: contra la integridad, violencia familiar, delitos sexuales, acoso escolar (</w:t>
      </w:r>
      <w:proofErr w:type="spellStart"/>
      <w:r w:rsidRPr="00E90A47">
        <w:rPr>
          <w:color w:val="000000"/>
          <w:szCs w:val="24"/>
          <w:lang w:val="es-AR" w:eastAsia="es-AR"/>
        </w:rPr>
        <w:t>bullying</w:t>
      </w:r>
      <w:proofErr w:type="spellEnd"/>
      <w:r w:rsidRPr="00E90A47">
        <w:rPr>
          <w:color w:val="000000"/>
          <w:szCs w:val="24"/>
          <w:lang w:val="es-AR" w:eastAsia="es-AR"/>
        </w:rPr>
        <w:t>), son apenas algunas de las problemáticas que engloba a este grupo etario, y que por su gravedad deben ser consideradas y tratadas de forma urgente, después de haber sido silenciadas, desestimadas y negadas durante centenares de años. Según las estadísticas elaboradas a nivel nacional en el 2016, el abuso infantil en un 53% de los casos sucede en el hogar de la víctima; 18% en la vivienda del agresor; 10 % en la casa de un familiar.</w:t>
      </w:r>
      <w:r w:rsidRPr="00E90A47">
        <w:rPr>
          <w:color w:val="000000"/>
          <w:szCs w:val="24"/>
          <w:vertAlign w:val="superscript"/>
          <w:lang w:val="es-AR" w:eastAsia="es-AR"/>
        </w:rPr>
        <w:footnoteReference w:id="1"/>
      </w:r>
      <w:r w:rsidRPr="00E90A47">
        <w:rPr>
          <w:color w:val="000000"/>
          <w:szCs w:val="24"/>
          <w:lang w:val="es-AR" w:eastAsia="es-AR"/>
        </w:rPr>
        <w:t xml:space="preserve"> Por otro lado, cuanto menor edad mayor es la dependencia, los números también manifiestan que las principales víctimas de la violencia son </w:t>
      </w:r>
      <w:proofErr w:type="spellStart"/>
      <w:r w:rsidRPr="00E90A47">
        <w:rPr>
          <w:color w:val="000000"/>
          <w:szCs w:val="24"/>
          <w:lang w:val="es-AR" w:eastAsia="es-AR"/>
        </w:rPr>
        <w:t>NNyA</w:t>
      </w:r>
      <w:proofErr w:type="spellEnd"/>
      <w:r w:rsidRPr="00E90A47">
        <w:rPr>
          <w:color w:val="000000"/>
          <w:szCs w:val="24"/>
          <w:lang w:val="es-AR" w:eastAsia="es-AR"/>
        </w:rPr>
        <w:t>. En este sentido alarman las estadísticas que indican que el 50% de las víctimas tiene entre 0 y 9 años; 25% tiene de 10 a 14 años; 16% entre 15 y 17 años; 5% más de 18 (4% sin identificar)</w:t>
      </w:r>
      <w:r w:rsidRPr="00E90A47">
        <w:rPr>
          <w:color w:val="000000"/>
          <w:szCs w:val="24"/>
          <w:vertAlign w:val="superscript"/>
          <w:lang w:val="es-AR" w:eastAsia="es-AR"/>
        </w:rPr>
        <w:footnoteReference w:id="2"/>
      </w:r>
      <w:r w:rsidRPr="00E90A47">
        <w:rPr>
          <w:color w:val="000000"/>
          <w:szCs w:val="24"/>
          <w:lang w:val="es-AR" w:eastAsia="es-AR"/>
        </w:rPr>
        <w:t xml:space="preserve">.Más de </w:t>
      </w:r>
      <w:r w:rsidRPr="00E90A47">
        <w:rPr>
          <w:color w:val="000000"/>
          <w:szCs w:val="24"/>
          <w:lang w:val="es-AR" w:eastAsia="es-AR"/>
        </w:rPr>
        <w:lastRenderedPageBreak/>
        <w:t>la mitad de los derechos vulnerados se registraron en la categoría protección contra situaciones de violencia, seguida por el derecho a la convivencia familiar y comunitaria. Ambas categorías concentran el 93% del total de motivos que generaron la intervención del organismo durante el año 2018</w:t>
      </w:r>
      <w:r w:rsidRPr="00E90A47">
        <w:rPr>
          <w:color w:val="000000"/>
          <w:szCs w:val="24"/>
          <w:vertAlign w:val="superscript"/>
          <w:lang w:val="es-AR" w:eastAsia="es-AR"/>
        </w:rPr>
        <w:footnoteReference w:id="3"/>
      </w:r>
      <w:r w:rsidRPr="00E90A47">
        <w:rPr>
          <w:color w:val="000000"/>
          <w:szCs w:val="24"/>
          <w:lang w:val="es-AR" w:eastAsia="es-AR"/>
        </w:rPr>
        <w:t>. En términos generales el lugar donde ocurre la violencia es en la casa, dentro de la propia familia y quien mayoritariamente comete los actos de violencia es un conocido de la víctima, del sexo masculino. En el 75% de los casos es un familiar, de los cuales un 40% es el padre; y el 16% es el padrastro. En cuanto al género de los agresores el 89% son de género masculino; solo el 7% son de género femenino; sobre el 4% de los casos restantes, no hay datos</w:t>
      </w:r>
      <w:r w:rsidRPr="00E90A47">
        <w:rPr>
          <w:color w:val="000000"/>
          <w:szCs w:val="24"/>
          <w:vertAlign w:val="superscript"/>
          <w:lang w:val="es-AR" w:eastAsia="es-AR"/>
        </w:rPr>
        <w:footnoteReference w:id="4"/>
      </w:r>
      <w:r w:rsidRPr="00E90A47">
        <w:rPr>
          <w:color w:val="000000"/>
          <w:szCs w:val="24"/>
          <w:lang w:val="es-AR" w:eastAsia="es-AR"/>
        </w:rPr>
        <w:t>. En materia de acoso escolar, según la Unesco, Argentina lidera el ranking de la región: 4 de cada 10 estudiantes secundarios admite haber padecido acoso escolar, mientras que 1 de cada 5 dice sufrir burlas de manera habitual.</w:t>
      </w:r>
    </w:p>
    <w:p w:rsidR="00AF6C23" w:rsidRPr="00E90A47" w:rsidRDefault="00AF6C23" w:rsidP="00AF6C23">
      <w:pPr>
        <w:pBdr>
          <w:top w:val="nil"/>
          <w:left w:val="nil"/>
          <w:bottom w:val="nil"/>
          <w:right w:val="nil"/>
          <w:between w:val="nil"/>
        </w:pBdr>
        <w:spacing w:after="160" w:line="360" w:lineRule="auto"/>
        <w:rPr>
          <w:color w:val="000000"/>
          <w:szCs w:val="24"/>
          <w:lang w:val="es-AR" w:eastAsia="es-AR"/>
        </w:rPr>
      </w:pPr>
      <w:bookmarkStart w:id="8" w:name="_4d34og8" w:colFirst="0" w:colLast="0"/>
      <w:bookmarkEnd w:id="8"/>
      <w:r w:rsidRPr="00E90A47">
        <w:rPr>
          <w:color w:val="000000"/>
          <w:szCs w:val="24"/>
          <w:lang w:val="es-AR" w:eastAsia="es-AR"/>
        </w:rPr>
        <w:t>Queda mucho trabajo por hacer en ambas temáticas que aquí se abordan. Desglosar la actual comisión en dos, diferenciando estos grupos, es una forma de darles la envergadura, notoriedad e importancia que merecen, para que se puedan abordar de manera directa y efectiva las problemáticas asociadas a ellos.</w:t>
      </w:r>
    </w:p>
    <w:p w:rsidR="00AF6C23" w:rsidRPr="00E90A47" w:rsidRDefault="00AF6C23" w:rsidP="00AF6C23">
      <w:pPr>
        <w:spacing w:line="360" w:lineRule="auto"/>
        <w:rPr>
          <w:szCs w:val="24"/>
          <w:lang w:val="es-AR" w:eastAsia="es-AR"/>
        </w:rPr>
      </w:pPr>
      <w:r w:rsidRPr="00E90A47">
        <w:rPr>
          <w:szCs w:val="24"/>
          <w:lang w:val="es-AR" w:eastAsia="es-AR"/>
        </w:rPr>
        <w:t>Por otra parte, e</w:t>
      </w:r>
      <w:r w:rsidRPr="00E36CCD">
        <w:rPr>
          <w:szCs w:val="24"/>
          <w:lang w:val="es-AR" w:eastAsia="es-AR"/>
        </w:rPr>
        <w:t>l</w:t>
      </w:r>
      <w:r w:rsidRPr="00E90A47">
        <w:rPr>
          <w:szCs w:val="24"/>
          <w:lang w:val="es-AR" w:eastAsia="es-AR"/>
        </w:rPr>
        <w:t xml:space="preserve"> presente proyecto propicia incorporar como Comisión Permanente a la Comisión de Discapacidad. Esta casa decidió, por Resolución 209/19, crear la Comisión Especial de Personas con Discapacidad, a la que se le encomendó la tarea de analizar todo lo concerniente a la defensa de los derechos de las personas con discapacidad. </w:t>
      </w:r>
      <w:r w:rsidRPr="00E36CCD">
        <w:rPr>
          <w:szCs w:val="24"/>
          <w:lang w:val="es-AR" w:eastAsia="es-AR"/>
        </w:rPr>
        <w:t>Dichas cuestiones</w:t>
      </w:r>
      <w:r w:rsidRPr="00E90A47">
        <w:rPr>
          <w:szCs w:val="24"/>
          <w:lang w:val="es-AR" w:eastAsia="es-AR"/>
        </w:rPr>
        <w:t xml:space="preserve"> son eran tratadas por la Comisión Permanente de Políticas de Promoción e Integración Social. Así, con la separación de sendas esferas de competencia, creemos logar el objetivo propuesto, que no es otro que el de obtener el mejor tratamiento posible para temas que nos resultan tan importantes. </w:t>
      </w:r>
    </w:p>
    <w:p w:rsidR="00AF6C23" w:rsidRPr="00E90A47" w:rsidRDefault="00AF6C23" w:rsidP="00AF6C23">
      <w:pPr>
        <w:spacing w:line="360" w:lineRule="auto"/>
        <w:rPr>
          <w:szCs w:val="24"/>
          <w:lang w:val="es-AR" w:eastAsia="es-AR"/>
        </w:rPr>
      </w:pPr>
    </w:p>
    <w:p w:rsidR="00AF6C23" w:rsidRPr="00E90A47" w:rsidRDefault="00AF6C23" w:rsidP="00AF6C23">
      <w:pPr>
        <w:spacing w:line="360" w:lineRule="auto"/>
        <w:rPr>
          <w:szCs w:val="24"/>
          <w:lang w:val="es-AR" w:eastAsia="es-AR"/>
        </w:rPr>
      </w:pPr>
      <w:r w:rsidRPr="00E90A47">
        <w:rPr>
          <w:szCs w:val="24"/>
          <w:lang w:val="es-AR" w:eastAsia="es-AR"/>
        </w:rPr>
        <w:t>Por último, el proyecto propone elevar de nueve (9) a once (11) miembros la composición de la Comisión de Políticas de Promoción e Integración Social. Con ello, se asegura y favorece la participación de legisladoras y legisladores de diferentes bloques políticos en la toma de decisiones y en la formación de la voluntad legislativa.</w:t>
      </w:r>
    </w:p>
    <w:p w:rsidR="00AF6C23" w:rsidRPr="00E90A47" w:rsidRDefault="00AF6C23" w:rsidP="00AF6C23">
      <w:pPr>
        <w:spacing w:line="360" w:lineRule="auto"/>
        <w:rPr>
          <w:szCs w:val="24"/>
          <w:lang w:val="es-AR" w:eastAsia="es-AR"/>
        </w:rPr>
      </w:pPr>
    </w:p>
    <w:p w:rsidR="005E3C49" w:rsidRPr="00E5658D" w:rsidRDefault="00AF6C23" w:rsidP="00AF6C23">
      <w:pPr>
        <w:pBdr>
          <w:top w:val="nil"/>
          <w:left w:val="nil"/>
          <w:bottom w:val="nil"/>
          <w:right w:val="nil"/>
          <w:between w:val="nil"/>
        </w:pBdr>
        <w:spacing w:after="160" w:line="360" w:lineRule="auto"/>
      </w:pPr>
      <w:bookmarkStart w:id="9" w:name="_2s8eyo1" w:colFirst="0" w:colLast="0"/>
      <w:bookmarkEnd w:id="9"/>
      <w:r w:rsidRPr="00E90A47">
        <w:rPr>
          <w:color w:val="000000"/>
          <w:szCs w:val="24"/>
          <w:lang w:val="es-AR" w:eastAsia="es-AR"/>
        </w:rPr>
        <w:t>Por todo lo expuesto, solicito a mis pares el inmediato tratamiento y aprobación del presente proyecto de resolución.</w:t>
      </w:r>
    </w:p>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B25" w:rsidRDefault="003F4B25">
      <w:r>
        <w:separator/>
      </w:r>
    </w:p>
  </w:endnote>
  <w:endnote w:type="continuationSeparator" w:id="0">
    <w:p w:rsidR="003F4B25" w:rsidRDefault="003F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9B" w:rsidRDefault="002D19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0" w:name="Proyecto"/>
    <w:bookmarkEnd w:id="10"/>
  </w:p>
  <w:p w:rsidR="00601A75" w:rsidRPr="001C19C4" w:rsidRDefault="00601A75">
    <w:pPr>
      <w:pStyle w:val="Piedepgina"/>
      <w:rPr>
        <w:color w:val="333333"/>
        <w:sz w:val="20"/>
      </w:rPr>
    </w:pPr>
    <w:r w:rsidRPr="001C19C4">
      <w:rPr>
        <w:color w:val="333333"/>
        <w:sz w:val="20"/>
      </w:rPr>
      <w:t>Últim</w:t>
    </w:r>
    <w:bookmarkStart w:id="11" w:name="_GoBack"/>
    <w:bookmarkEnd w:id="11"/>
    <w:r w:rsidRPr="001C19C4">
      <w:rPr>
        <w:color w:val="333333"/>
        <w:sz w:val="20"/>
      </w:rPr>
      <w:t xml:space="preserve">o cambio: </w:t>
    </w:r>
    <w:r w:rsidR="003F4B25">
      <w:fldChar w:fldCharType="begin"/>
    </w:r>
    <w:r w:rsidR="003F4B25">
      <w:instrText xml:space="preserve"> SAVEDATE  \* MERGEFORMAT </w:instrText>
    </w:r>
    <w:r w:rsidR="003F4B25">
      <w:fldChar w:fldCharType="separate"/>
    </w:r>
    <w:r w:rsidR="002D199B" w:rsidRPr="002D199B">
      <w:rPr>
        <w:noProof/>
        <w:color w:val="333333"/>
        <w:sz w:val="20"/>
      </w:rPr>
      <w:t>02/03/2022 9:23:00</w:t>
    </w:r>
    <w:r w:rsidR="003F4B25">
      <w:rPr>
        <w:noProof/>
        <w:color w:val="333333"/>
        <w:sz w:val="20"/>
      </w:rPr>
      <w:fldChar w:fldCharType="end"/>
    </w:r>
    <w:r w:rsidRPr="001C19C4">
      <w:rPr>
        <w:color w:val="333333"/>
        <w:sz w:val="20"/>
      </w:rPr>
      <w:t xml:space="preserve">  -  Cantidad de caracteres: </w:t>
    </w:r>
    <w:r w:rsidR="003F4B25">
      <w:fldChar w:fldCharType="begin"/>
    </w:r>
    <w:r w:rsidR="003F4B25">
      <w:instrText xml:space="preserve"> NUMCHARS  \* MERGEFORMAT </w:instrText>
    </w:r>
    <w:r w:rsidR="003F4B25">
      <w:fldChar w:fldCharType="separate"/>
    </w:r>
    <w:r w:rsidR="002D199B" w:rsidRPr="002D199B">
      <w:rPr>
        <w:noProof/>
        <w:color w:val="333333"/>
        <w:sz w:val="20"/>
      </w:rPr>
      <w:t>13248</w:t>
    </w:r>
    <w:r w:rsidR="003F4B25">
      <w:rPr>
        <w:noProof/>
        <w:color w:val="333333"/>
        <w:sz w:val="20"/>
      </w:rPr>
      <w:fldChar w:fldCharType="end"/>
    </w:r>
    <w:r w:rsidRPr="001C19C4">
      <w:rPr>
        <w:color w:val="333333"/>
        <w:sz w:val="20"/>
      </w:rPr>
      <w:t xml:space="preserve"> - Cantidad de palabras: </w:t>
    </w:r>
    <w:r w:rsidR="003F4B25">
      <w:fldChar w:fldCharType="begin"/>
    </w:r>
    <w:r w:rsidR="003F4B25">
      <w:instrText xml:space="preserve"> NUMWORDS  \* MERGEFORMAT </w:instrText>
    </w:r>
    <w:r w:rsidR="003F4B25">
      <w:fldChar w:fldCharType="separate"/>
    </w:r>
    <w:r w:rsidR="002D199B" w:rsidRPr="002D199B">
      <w:rPr>
        <w:noProof/>
        <w:color w:val="333333"/>
        <w:sz w:val="20"/>
      </w:rPr>
      <w:t>2455</w:t>
    </w:r>
    <w:r w:rsidR="003F4B25">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2D199B">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3F4B25">
      <w:fldChar w:fldCharType="begin"/>
    </w:r>
    <w:r w:rsidR="003F4B25">
      <w:instrText xml:space="preserve"> NUMPAGES  \* MERGEFORMAT </w:instrText>
    </w:r>
    <w:r w:rsidR="003F4B25">
      <w:fldChar w:fldCharType="separate"/>
    </w:r>
    <w:r w:rsidR="002D199B" w:rsidRPr="002D199B">
      <w:rPr>
        <w:rStyle w:val="Nmerodepgina"/>
        <w:noProof/>
        <w:color w:val="333333"/>
      </w:rPr>
      <w:t>7</w:t>
    </w:r>
    <w:r w:rsidR="003F4B25">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9B" w:rsidRDefault="002D19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B25" w:rsidRDefault="003F4B25">
      <w:r>
        <w:separator/>
      </w:r>
    </w:p>
  </w:footnote>
  <w:footnote w:type="continuationSeparator" w:id="0">
    <w:p w:rsidR="003F4B25" w:rsidRDefault="003F4B25">
      <w:r>
        <w:continuationSeparator/>
      </w:r>
    </w:p>
  </w:footnote>
  <w:footnote w:id="1">
    <w:p w:rsidR="00AF6C23" w:rsidRDefault="00AF6C23" w:rsidP="00AF6C23">
      <w:pPr>
        <w:pBdr>
          <w:top w:val="nil"/>
          <w:left w:val="nil"/>
          <w:bottom w:val="nil"/>
          <w:right w:val="nil"/>
          <w:between w:val="nil"/>
        </w:pBdr>
        <w:jc w:val="left"/>
        <w:rPr>
          <w:color w:val="000000"/>
          <w:sz w:val="20"/>
        </w:rPr>
      </w:pPr>
      <w:r>
        <w:rPr>
          <w:vertAlign w:val="superscript"/>
        </w:rPr>
        <w:footnoteRef/>
      </w:r>
      <w:r>
        <w:rPr>
          <w:color w:val="000000"/>
          <w:sz w:val="20"/>
        </w:rPr>
        <w:t xml:space="preserve"> "Estadísticas sobre abuso sexual infantil en la Argentina</w:t>
      </w:r>
      <w:proofErr w:type="gramStart"/>
      <w:r>
        <w:rPr>
          <w:color w:val="000000"/>
          <w:sz w:val="20"/>
        </w:rPr>
        <w:t xml:space="preserve"> ....</w:t>
      </w:r>
      <w:proofErr w:type="gramEnd"/>
      <w:r>
        <w:rPr>
          <w:color w:val="000000"/>
          <w:sz w:val="20"/>
        </w:rPr>
        <w:t xml:space="preserve">" </w:t>
      </w:r>
      <w:hyperlink r:id="rId1">
        <w:r>
          <w:rPr>
            <w:color w:val="1155CC"/>
            <w:sz w:val="20"/>
            <w:u w:val="single"/>
          </w:rPr>
          <w:t>https://www.argentina.gob.ar/abusosexualinfantil/estadisticas</w:t>
        </w:r>
      </w:hyperlink>
      <w:r>
        <w:rPr>
          <w:color w:val="000000"/>
          <w:sz w:val="20"/>
        </w:rPr>
        <w:t xml:space="preserve">. Se consultó el 7 </w:t>
      </w:r>
      <w:proofErr w:type="gramStart"/>
      <w:r>
        <w:rPr>
          <w:color w:val="000000"/>
          <w:sz w:val="20"/>
        </w:rPr>
        <w:t>ago..</w:t>
      </w:r>
      <w:proofErr w:type="gramEnd"/>
      <w:r>
        <w:rPr>
          <w:color w:val="000000"/>
          <w:sz w:val="20"/>
        </w:rPr>
        <w:t xml:space="preserve"> 2020.</w:t>
      </w:r>
    </w:p>
  </w:footnote>
  <w:footnote w:id="2">
    <w:p w:rsidR="00AF6C23" w:rsidRDefault="00AF6C23" w:rsidP="00AF6C23">
      <w:pPr>
        <w:pBdr>
          <w:top w:val="nil"/>
          <w:left w:val="nil"/>
          <w:bottom w:val="nil"/>
          <w:right w:val="nil"/>
          <w:between w:val="nil"/>
        </w:pBdr>
        <w:jc w:val="left"/>
        <w:rPr>
          <w:color w:val="000000"/>
          <w:sz w:val="20"/>
        </w:rPr>
      </w:pPr>
      <w:r>
        <w:rPr>
          <w:vertAlign w:val="superscript"/>
        </w:rPr>
        <w:footnoteRef/>
      </w:r>
      <w:r>
        <w:rPr>
          <w:color w:val="000000"/>
          <w:sz w:val="20"/>
        </w:rPr>
        <w:t xml:space="preserve"> "Anuario Estadístico 2018 - Buenos Aires Ciudad." </w:t>
      </w:r>
      <w:hyperlink r:id="rId2">
        <w:r>
          <w:rPr>
            <w:color w:val="1155CC"/>
            <w:sz w:val="20"/>
            <w:u w:val="single"/>
          </w:rPr>
          <w:t>http://www.buenosaires.gob.ar/sites/gcaba/files/anuario_2018.pdf</w:t>
        </w:r>
      </w:hyperlink>
      <w:r>
        <w:rPr>
          <w:color w:val="000000"/>
          <w:sz w:val="20"/>
        </w:rPr>
        <w:t xml:space="preserve">. Se consultó el 6 </w:t>
      </w:r>
      <w:proofErr w:type="gramStart"/>
      <w:r>
        <w:rPr>
          <w:color w:val="000000"/>
          <w:sz w:val="20"/>
        </w:rPr>
        <w:t>ago..</w:t>
      </w:r>
      <w:proofErr w:type="gramEnd"/>
      <w:r>
        <w:rPr>
          <w:color w:val="000000"/>
          <w:sz w:val="20"/>
        </w:rPr>
        <w:t xml:space="preserve"> 2020.</w:t>
      </w:r>
    </w:p>
  </w:footnote>
  <w:footnote w:id="3">
    <w:p w:rsidR="00AF6C23" w:rsidRDefault="00AF6C23" w:rsidP="00AF6C23">
      <w:pPr>
        <w:pBdr>
          <w:top w:val="nil"/>
          <w:left w:val="nil"/>
          <w:bottom w:val="nil"/>
          <w:right w:val="nil"/>
          <w:between w:val="nil"/>
        </w:pBdr>
        <w:jc w:val="left"/>
        <w:rPr>
          <w:rFonts w:ascii="Calibri" w:eastAsia="Calibri" w:hAnsi="Calibri" w:cs="Calibri"/>
          <w:color w:val="000000"/>
          <w:sz w:val="20"/>
        </w:rPr>
      </w:pPr>
      <w:r>
        <w:rPr>
          <w:vertAlign w:val="superscript"/>
        </w:rPr>
        <w:footnoteRef/>
      </w:r>
      <w:r>
        <w:rPr>
          <w:rFonts w:ascii="Calibri" w:eastAsia="Calibri" w:hAnsi="Calibri" w:cs="Calibri"/>
          <w:color w:val="000000"/>
          <w:sz w:val="20"/>
        </w:rPr>
        <w:t xml:space="preserve"> "Anuario Estadístico 2018 - Buenos Aires Ciudad." </w:t>
      </w:r>
      <w:hyperlink r:id="rId3">
        <w:r>
          <w:rPr>
            <w:rFonts w:ascii="Calibri" w:eastAsia="Calibri" w:hAnsi="Calibri" w:cs="Calibri"/>
            <w:color w:val="1155CC"/>
            <w:sz w:val="20"/>
            <w:u w:val="single"/>
          </w:rPr>
          <w:t>http://www.buenosaires.gob.ar/sites/gcaba/files/anuario_2018.pdf</w:t>
        </w:r>
      </w:hyperlink>
      <w:r>
        <w:rPr>
          <w:rFonts w:ascii="Calibri" w:eastAsia="Calibri" w:hAnsi="Calibri" w:cs="Calibri"/>
          <w:color w:val="000000"/>
          <w:sz w:val="20"/>
        </w:rPr>
        <w:t xml:space="preserve">. Se consultó el 6 </w:t>
      </w:r>
      <w:proofErr w:type="gramStart"/>
      <w:r>
        <w:rPr>
          <w:rFonts w:ascii="Calibri" w:eastAsia="Calibri" w:hAnsi="Calibri" w:cs="Calibri"/>
          <w:color w:val="000000"/>
          <w:sz w:val="20"/>
        </w:rPr>
        <w:t>ago..</w:t>
      </w:r>
      <w:proofErr w:type="gramEnd"/>
      <w:r>
        <w:rPr>
          <w:rFonts w:ascii="Calibri" w:eastAsia="Calibri" w:hAnsi="Calibri" w:cs="Calibri"/>
          <w:color w:val="000000"/>
          <w:sz w:val="20"/>
        </w:rPr>
        <w:t xml:space="preserve"> 2020.</w:t>
      </w:r>
    </w:p>
  </w:footnote>
  <w:footnote w:id="4">
    <w:p w:rsidR="00AF6C23" w:rsidRDefault="00AF6C23" w:rsidP="00AF6C23">
      <w:pPr>
        <w:pBdr>
          <w:top w:val="nil"/>
          <w:left w:val="nil"/>
          <w:bottom w:val="nil"/>
          <w:right w:val="nil"/>
          <w:between w:val="nil"/>
        </w:pBdr>
        <w:jc w:val="left"/>
        <w:rPr>
          <w:rFonts w:ascii="Calibri" w:eastAsia="Calibri" w:hAnsi="Calibri" w:cs="Calibri"/>
          <w:color w:val="000000"/>
          <w:sz w:val="20"/>
        </w:rPr>
      </w:pPr>
      <w:r>
        <w:rPr>
          <w:vertAlign w:val="superscript"/>
        </w:rPr>
        <w:footnoteRef/>
      </w:r>
      <w:r>
        <w:rPr>
          <w:rFonts w:ascii="Calibri" w:eastAsia="Calibri" w:hAnsi="Calibri" w:cs="Calibri"/>
          <w:color w:val="000000"/>
          <w:sz w:val="20"/>
        </w:rPr>
        <w:t xml:space="preserve"> </w:t>
      </w:r>
      <w:hyperlink r:id="rId4">
        <w:r>
          <w:rPr>
            <w:rFonts w:ascii="Calibri" w:eastAsia="Calibri" w:hAnsi="Calibri" w:cs="Calibri"/>
            <w:color w:val="1155CC"/>
            <w:sz w:val="20"/>
            <w:u w:val="single"/>
          </w:rPr>
          <w:t>https://www.argentina.gob.ar/abusosexualinfantil/estadisticas</w:t>
        </w:r>
      </w:hyperlink>
    </w:p>
    <w:p w:rsidR="00AF6C23" w:rsidRDefault="00AF6C23" w:rsidP="00AF6C23">
      <w:pPr>
        <w:pBdr>
          <w:top w:val="nil"/>
          <w:left w:val="nil"/>
          <w:bottom w:val="nil"/>
          <w:right w:val="nil"/>
          <w:between w:val="nil"/>
        </w:pBdr>
        <w:jc w:val="left"/>
        <w:rPr>
          <w:rFonts w:ascii="Calibri" w:eastAsia="Calibri" w:hAnsi="Calibri" w:cs="Calibri"/>
          <w:color w:val="000000"/>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9B" w:rsidRDefault="002D19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9B" w:rsidRDefault="002D199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C2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199B"/>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3F4B25"/>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86513"/>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24C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AF6C23"/>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CE1B4F6-BB90-43B5-8D44-4A1E3938B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C2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buenosaires.gob.ar/sites/gcaba/files/anuario_2018.pdf" TargetMode="External"/><Relationship Id="rId2" Type="http://schemas.openxmlformats.org/officeDocument/2006/relationships/hyperlink" Target="http://www.buenosaires.gob.ar/sites/gcaba/files/anuario_2018.pdf" TargetMode="External"/><Relationship Id="rId1" Type="http://schemas.openxmlformats.org/officeDocument/2006/relationships/hyperlink" Target="https://www.argentina.gob.ar/abusosexualinfantil/estadisticas" TargetMode="External"/><Relationship Id="rId4" Type="http://schemas.openxmlformats.org/officeDocument/2006/relationships/hyperlink" Target="https://www.argentina.gob.ar/abusosexualinfantil/estadistic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B95D08-CF03-480D-9031-40CBCEF6E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TotalTime>
  <Pages>7</Pages>
  <Words>2464</Words>
  <Characters>13284</Characters>
  <Application>Microsoft Office Word</Application>
  <DocSecurity>0</DocSecurity>
  <Lines>241</Lines>
  <Paragraphs>72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dc:creator>
  <cp:lastModifiedBy>Admin</cp:lastModifiedBy>
  <cp:revision>5</cp:revision>
  <cp:lastPrinted>2020-02-28T17:24:00Z</cp:lastPrinted>
  <dcterms:created xsi:type="dcterms:W3CDTF">2022-03-02T12:21:00Z</dcterms:created>
  <dcterms:modified xsi:type="dcterms:W3CDTF">2022-03-02T12:23:00Z</dcterms:modified>
</cp:coreProperties>
</file>