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012" w:rsidRDefault="006B5012" w:rsidP="006B5012">
      <w:pPr>
        <w:spacing w:before="240" w:after="240" w:line="360" w:lineRule="auto"/>
        <w:jc w:val="center"/>
      </w:pPr>
      <w:r>
        <w:rPr>
          <w:rFonts w:eastAsia="Arial"/>
          <w:b/>
          <w:color w:val="000000"/>
        </w:rPr>
        <w:t>PROYECTO DE RESOLUCIÓN</w:t>
      </w:r>
    </w:p>
    <w:p w:rsidR="006B5012" w:rsidRDefault="006B5012" w:rsidP="006B5012">
      <w:pPr>
        <w:spacing w:before="240" w:after="240" w:line="360" w:lineRule="auto"/>
        <w:ind w:right="520"/>
      </w:pPr>
      <w:r>
        <w:rPr>
          <w:rFonts w:eastAsia="Arial"/>
          <w:color w:val="000000"/>
        </w:rPr>
        <w:t>Artículo 1°</w:t>
      </w:r>
      <w:r>
        <w:rPr>
          <w:rFonts w:eastAsia="Arial"/>
          <w:color w:val="000000"/>
        </w:rPr>
        <w:t>.- El Poder Ejecutivo informará, a través de los organismos correspondientes, dentro de los 30 (treinta) días corridos de recibida la presente acerca de los bolsones de comida entregados a comedores y merenderos en los barrios populares de la Ciudad Autónoma de Buenos Aires.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 xml:space="preserve">a) Indique </w:t>
      </w:r>
      <w:r>
        <w:rPr>
          <w:rFonts w:eastAsia="Arial"/>
        </w:rPr>
        <w:t>qué</w:t>
      </w:r>
      <w:r>
        <w:rPr>
          <w:rFonts w:eastAsia="Arial"/>
          <w:color w:val="000000"/>
        </w:rPr>
        <w:t xml:space="preserve"> elementos alimenticios y con qué periodicidad se entregan los bolsones en comedores y merenderos de barrios populares de la Ciudad Autónoma de Buenos Aires;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b) Indique bajo qué criterios se realiza la división de gramaje por bolsones y porciones para cada comedor y merendero;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c) Informe si se elaboró un plan nutricional que contemple las necesidades específicas de la población de todos los barrios, teniendo en cuenta las edades y cantidad de personas que asisten a los mismos;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d) Informe si se planea realizar actualizaciones del presupuesto destinado al subsidio para los comedores y merenderos que se encuentran bajo el Programa de Apoyo a Grupos Comunitarios;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e) Informe sobre la Cantidad de Comedores que se encuentran bajo la modalidad de Asistidos y fecha de Pase al programa de Apoyo a Grupos Comunitarios de los mismos;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f) Informe si el MDHyH tiene estipulado la apertura de nuevas bocas de comedores y merenderos que solicitaron la asistencia al Gobierno de la Ciudad ante la emergencia alimentaria y económica a partir de la pandemia;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g) Informe nómina de la cantidad de personas que asisten a cada uno de los comedores y merenderos y cantidad de bolsones que se le entrega distribuido por comuna;  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h) Informe nómina de comedores que reciben equipamiento y abastecimiento de insumos, indicando además a qué comuna corresponden;</w:t>
      </w:r>
    </w:p>
    <w:p w:rsidR="006B5012" w:rsidRDefault="006B5012" w:rsidP="006B5012">
      <w:pPr>
        <w:spacing w:before="240" w:after="240" w:line="360" w:lineRule="auto"/>
      </w:pPr>
      <w:r w:rsidRPr="006B5012">
        <w:rPr>
          <w:rFonts w:eastAsia="Arial"/>
          <w:color w:val="000000"/>
        </w:rPr>
        <w:t xml:space="preserve">Artículo </w:t>
      </w:r>
      <w:r>
        <w:rPr>
          <w:rFonts w:eastAsia="Arial"/>
          <w:color w:val="000000"/>
        </w:rPr>
        <w:t>2</w:t>
      </w:r>
      <w:r w:rsidRPr="006B5012">
        <w:rPr>
          <w:rFonts w:eastAsia="Arial"/>
          <w:color w:val="000000"/>
        </w:rPr>
        <w:t xml:space="preserve">°.- </w:t>
      </w:r>
      <w:r>
        <w:rPr>
          <w:rFonts w:eastAsia="Arial"/>
          <w:color w:val="000000"/>
        </w:rPr>
        <w:t>Comuníquese;</w:t>
      </w:r>
    </w:p>
    <w:p w:rsidR="006B5012" w:rsidRDefault="006B5012" w:rsidP="006B5012">
      <w:pPr>
        <w:spacing w:before="240" w:after="240" w:line="360" w:lineRule="auto"/>
      </w:pPr>
    </w:p>
    <w:p w:rsidR="006B5012" w:rsidRDefault="006B5012" w:rsidP="006B5012">
      <w:pPr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br w:type="page"/>
      </w:r>
    </w:p>
    <w:p w:rsidR="006B5012" w:rsidRDefault="006B5012" w:rsidP="006B5012">
      <w:pPr>
        <w:spacing w:before="240" w:after="240" w:line="360" w:lineRule="auto"/>
        <w:jc w:val="center"/>
        <w:rPr>
          <w:rFonts w:eastAsia="Arial"/>
        </w:rPr>
      </w:pPr>
      <w:r>
        <w:rPr>
          <w:rFonts w:eastAsia="Arial"/>
          <w:b/>
          <w:color w:val="000000"/>
        </w:rPr>
        <w:lastRenderedPageBreak/>
        <w:t>FUNDAMENTOS</w:t>
      </w:r>
    </w:p>
    <w:p w:rsidR="006B5012" w:rsidRDefault="006B5012" w:rsidP="006B5012">
      <w:pPr>
        <w:spacing w:before="240" w:after="240" w:line="360" w:lineRule="auto"/>
      </w:pPr>
      <w:r>
        <w:rPr>
          <w:rFonts w:eastAsia="Arial"/>
          <w:color w:val="000000"/>
        </w:rPr>
        <w:t>Sr. Presidente:</w:t>
      </w:r>
    </w:p>
    <w:p w:rsidR="006B5012" w:rsidRDefault="006B5012" w:rsidP="006B5012">
      <w:pPr>
        <w:spacing w:before="240" w:after="240" w:line="360" w:lineRule="auto"/>
        <w:ind w:firstLine="720"/>
      </w:pPr>
      <w:r>
        <w:rPr>
          <w:rFonts w:eastAsia="Arial"/>
          <w:color w:val="000000"/>
        </w:rPr>
        <w:t>Tenemos conocimiento que</w:t>
      </w:r>
      <w:r>
        <w:rPr>
          <w:rFonts w:eastAsia="Arial"/>
        </w:rPr>
        <w:t xml:space="preserve"> </w:t>
      </w:r>
      <w:r>
        <w:rPr>
          <w:rFonts w:eastAsia="Arial"/>
          <w:color w:val="000000"/>
        </w:rPr>
        <w:t xml:space="preserve">la crisis social </w:t>
      </w:r>
      <w:r>
        <w:rPr>
          <w:rFonts w:eastAsia="Arial"/>
        </w:rPr>
        <w:t xml:space="preserve">y económica </w:t>
      </w:r>
      <w:r>
        <w:rPr>
          <w:rFonts w:eastAsia="Arial"/>
          <w:color w:val="000000"/>
        </w:rPr>
        <w:t>que la</w:t>
      </w:r>
      <w:r>
        <w:rPr>
          <w:rFonts w:eastAsia="Arial"/>
        </w:rPr>
        <w:t xml:space="preserve"> pandemia</w:t>
      </w:r>
      <w:r>
        <w:rPr>
          <w:rFonts w:eastAsia="Arial"/>
          <w:color w:val="000000"/>
        </w:rPr>
        <w:t xml:space="preserve"> produjo, </w:t>
      </w:r>
      <w:r>
        <w:rPr>
          <w:rFonts w:eastAsia="Arial"/>
        </w:rPr>
        <w:t xml:space="preserve">ha </w:t>
      </w:r>
      <w:r>
        <w:rPr>
          <w:rFonts w:eastAsia="Arial"/>
          <w:color w:val="000000"/>
        </w:rPr>
        <w:t>registrado un aumento en la cantidad de vecinos, vecinas</w:t>
      </w:r>
      <w:r>
        <w:rPr>
          <w:rFonts w:eastAsia="Arial"/>
        </w:rPr>
        <w:t xml:space="preserve">, </w:t>
      </w:r>
      <w:r>
        <w:rPr>
          <w:rFonts w:eastAsia="Arial"/>
          <w:color w:val="000000"/>
        </w:rPr>
        <w:t>niñ</w:t>
      </w:r>
      <w:r>
        <w:rPr>
          <w:rFonts w:eastAsia="Arial"/>
        </w:rPr>
        <w:t>o</w:t>
      </w:r>
      <w:r>
        <w:rPr>
          <w:rFonts w:eastAsia="Arial"/>
          <w:color w:val="000000"/>
        </w:rPr>
        <w:t>s y niñas que asisten a comedores y merenderos de los barrios populares para alimentarse.</w:t>
      </w:r>
    </w:p>
    <w:p w:rsidR="006B5012" w:rsidRDefault="006B5012" w:rsidP="006B5012">
      <w:pPr>
        <w:spacing w:before="240" w:after="240" w:line="360" w:lineRule="auto"/>
        <w:ind w:firstLine="720"/>
      </w:pPr>
      <w:r>
        <w:rPr>
          <w:rFonts w:eastAsia="Arial"/>
          <w:color w:val="000000"/>
        </w:rPr>
        <w:t xml:space="preserve">De acuerdo al Registro Nacional de Barrios Populares creado por el </w:t>
      </w:r>
      <w:r>
        <w:rPr>
          <w:rFonts w:eastAsia="Arial"/>
          <w:color w:val="000000"/>
          <w:highlight w:val="white"/>
        </w:rPr>
        <w:t>Decreto 358/17 en el marco de la Ley Nacional 27.453, la Ciudad de Buenos Aires cuenta con 57 barrios de este tipo donde habitan 73.600 familias aproximadamente.</w:t>
      </w:r>
    </w:p>
    <w:p w:rsidR="006B5012" w:rsidRDefault="006B5012" w:rsidP="006B5012">
      <w:pPr>
        <w:spacing w:before="240" w:after="240" w:line="360" w:lineRule="auto"/>
        <w:ind w:firstLine="720"/>
      </w:pPr>
      <w:r>
        <w:rPr>
          <w:rFonts w:eastAsia="Arial"/>
          <w:color w:val="000000"/>
          <w:highlight w:val="white"/>
        </w:rPr>
        <w:t>Para miles de personas que viven en los barrios populares, la paralización de la actividad económica, a causa de la pandemia, implica la baja de acceso laboral cesando sus ingresos, es así que este sector sufre las peores consecuencias del freno en la economía nacional.</w:t>
      </w:r>
    </w:p>
    <w:p w:rsidR="006B5012" w:rsidRDefault="006B5012" w:rsidP="006B5012">
      <w:pPr>
        <w:spacing w:before="240" w:after="240" w:line="360" w:lineRule="auto"/>
        <w:ind w:firstLine="720"/>
      </w:pPr>
      <w:r>
        <w:rPr>
          <w:rFonts w:eastAsia="Arial"/>
          <w:color w:val="000000"/>
          <w:highlight w:val="white"/>
        </w:rPr>
        <w:t>Es por ello que los comedores comunitarios existentes en los barrios populares están llevando a cabo una tarea esencial para enfrentar la crisis económica y la pandemia de COVID-19, garantizando el alimento para miles de familias que vieron interrumpidos sus ingresos y que ya sufrían de las diferentes problemáticas habitacionales, de vivienda, de falta de servicios básicos, desempleo y subempleo, entre otras.</w:t>
      </w:r>
    </w:p>
    <w:p w:rsidR="006B5012" w:rsidRDefault="006B5012" w:rsidP="006B5012">
      <w:pPr>
        <w:spacing w:before="240" w:after="240" w:line="360" w:lineRule="auto"/>
        <w:ind w:firstLine="720"/>
      </w:pPr>
      <w:r>
        <w:rPr>
          <w:rFonts w:eastAsia="Arial"/>
          <w:color w:val="000000"/>
        </w:rPr>
        <w:t>Si tenemos en cuenta que el derecho a la alimentación adecuada, constituye un derecho humano fundamental que se encuentra consagrado en el artículo 11 y el artículo 2 del Pacto Internacional de Derechos Económicos, Sociales y Culturales, como así también, en el artículo 25 de la Declaración Universal de Derechos Humanos los cuales contemplan que solo cuando una persona no pueda, por razones ajenas a su voluntad, proveer a su propio sustento, tiene el Estado la obligación de proporcionarle alimentación o los medios de adquirirla. Es necesario contar con dicha información para que las personas de mayor vulnerabilidad tengan un acceso completo y nutritivo a la alimentación que reclaman.</w:t>
      </w:r>
    </w:p>
    <w:p w:rsidR="006B5012" w:rsidRDefault="006B5012" w:rsidP="006B5012">
      <w:pPr>
        <w:spacing w:before="240" w:after="240" w:line="360" w:lineRule="auto"/>
        <w:ind w:firstLine="720"/>
        <w:rPr>
          <w:rFonts w:eastAsia="Arial"/>
          <w:color w:val="000000"/>
        </w:rPr>
      </w:pPr>
      <w:r>
        <w:rPr>
          <w:rFonts w:eastAsia="Arial"/>
          <w:color w:val="000000"/>
        </w:rPr>
        <w:t>Teniendo en cuenta lo antes dicho, es que se solicita al poder ejecutivo tenga a bien contestar dicho pedido de inf</w:t>
      </w:r>
      <w:bookmarkStart w:id="0" w:name="_GoBack"/>
      <w:bookmarkEnd w:id="0"/>
      <w:r>
        <w:rPr>
          <w:rFonts w:eastAsia="Arial"/>
          <w:color w:val="000000"/>
        </w:rPr>
        <w:t>ormes que brinden herramientas informativas, a fin de mejorar la cantidad y calidad nutritiva correspondientes en cada porción alimentaria que los y las vecinas de los barrios populares reciben y se garantice eficientemente un derecho tan digno como alimentarse.</w:t>
      </w:r>
    </w:p>
    <w:p w:rsidR="006B5012" w:rsidRDefault="006B5012" w:rsidP="006B5012">
      <w:pPr>
        <w:spacing w:before="240" w:after="240" w:line="360" w:lineRule="auto"/>
        <w:ind w:firstLine="720"/>
        <w:rPr>
          <w:rFonts w:eastAsia="Arial"/>
        </w:rPr>
      </w:pPr>
      <w:r>
        <w:rPr>
          <w:rFonts w:eastAsia="Arial"/>
        </w:rPr>
        <w:t>Por todo ello, solicito a mis pares el acompañamiento del presente proyecto.</w:t>
      </w:r>
    </w:p>
    <w:p w:rsidR="00AF6352" w:rsidRPr="006B5012" w:rsidRDefault="00AF6352" w:rsidP="00A944BB">
      <w:pPr>
        <w:spacing w:line="360" w:lineRule="auto"/>
      </w:pPr>
    </w:p>
    <w:sectPr w:rsidR="00AF6352" w:rsidRPr="006B501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4F" w:rsidRDefault="003B534F">
      <w:r>
        <w:separator/>
      </w:r>
    </w:p>
  </w:endnote>
  <w:endnote w:type="continuationSeparator" w:id="0">
    <w:p w:rsidR="003B534F" w:rsidRDefault="003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657E9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657E9" w:rsidRDefault="00601A75">
    <w:pPr>
      <w:pStyle w:val="Piedepgina"/>
      <w:rPr>
        <w:color w:val="333333"/>
        <w:sz w:val="20"/>
      </w:rPr>
    </w:pPr>
    <w:r w:rsidRPr="001657E9">
      <w:rPr>
        <w:color w:val="333333"/>
        <w:sz w:val="20"/>
      </w:rPr>
      <w:t xml:space="preserve">Último cambio: </w:t>
    </w:r>
    <w:fldSimple w:instr=" SAVEDATE  \* MERGEFORMAT ">
      <w:r w:rsidR="006B5012" w:rsidRPr="006B5012">
        <w:rPr>
          <w:noProof/>
          <w:color w:val="333333"/>
          <w:sz w:val="20"/>
        </w:rPr>
        <w:t>02/03/2022 0:21:00</w:t>
      </w:r>
    </w:fldSimple>
    <w:r w:rsidRPr="001657E9">
      <w:rPr>
        <w:color w:val="333333"/>
        <w:sz w:val="20"/>
      </w:rPr>
      <w:t xml:space="preserve">  -  Cantidad de caracteres: </w:t>
    </w:r>
    <w:fldSimple w:instr=" NUMCHARS  \* MERGEFORMAT ">
      <w:r w:rsidR="006B5012" w:rsidRPr="006B5012">
        <w:rPr>
          <w:noProof/>
          <w:color w:val="333333"/>
          <w:sz w:val="20"/>
        </w:rPr>
        <w:t>3379</w:t>
      </w:r>
    </w:fldSimple>
    <w:r w:rsidRPr="001657E9">
      <w:rPr>
        <w:color w:val="333333"/>
        <w:sz w:val="20"/>
      </w:rPr>
      <w:t xml:space="preserve"> - Cantidad de palabras: </w:t>
    </w:r>
    <w:fldSimple w:instr=" NUMWORDS  \* MERGEFORMAT ">
      <w:r w:rsidR="006B5012" w:rsidRPr="006B5012">
        <w:rPr>
          <w:noProof/>
          <w:color w:val="333333"/>
          <w:sz w:val="20"/>
        </w:rPr>
        <w:t>637</w:t>
      </w:r>
    </w:fldSimple>
  </w:p>
  <w:p w:rsidR="00601A75" w:rsidRPr="001657E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657E9">
      <w:rPr>
        <w:color w:val="333333"/>
        <w:sz w:val="20"/>
      </w:rPr>
      <w:tab/>
      <w:t>Pág.</w:t>
    </w:r>
    <w:r w:rsidRPr="001657E9">
      <w:rPr>
        <w:color w:val="333333"/>
      </w:rPr>
      <w:t xml:space="preserve"> </w:t>
    </w:r>
    <w:r w:rsidR="006E4C9B" w:rsidRPr="001657E9">
      <w:rPr>
        <w:rStyle w:val="Nmerodepgina"/>
        <w:color w:val="333333"/>
      </w:rPr>
      <w:fldChar w:fldCharType="begin"/>
    </w:r>
    <w:r w:rsidRPr="001657E9">
      <w:rPr>
        <w:rStyle w:val="Nmerodepgina"/>
        <w:color w:val="333333"/>
      </w:rPr>
      <w:instrText xml:space="preserve"> PAGE </w:instrText>
    </w:r>
    <w:r w:rsidR="006E4C9B" w:rsidRPr="001657E9">
      <w:rPr>
        <w:rStyle w:val="Nmerodepgina"/>
        <w:color w:val="333333"/>
      </w:rPr>
      <w:fldChar w:fldCharType="separate"/>
    </w:r>
    <w:r w:rsidR="006B5012">
      <w:rPr>
        <w:rStyle w:val="Nmerodepgina"/>
        <w:noProof/>
        <w:color w:val="333333"/>
      </w:rPr>
      <w:t>2</w:t>
    </w:r>
    <w:r w:rsidR="006E4C9B" w:rsidRPr="001657E9">
      <w:rPr>
        <w:rStyle w:val="Nmerodepgina"/>
        <w:color w:val="333333"/>
      </w:rPr>
      <w:fldChar w:fldCharType="end"/>
    </w:r>
    <w:r w:rsidRPr="001657E9">
      <w:rPr>
        <w:rStyle w:val="Nmerodepgina"/>
        <w:color w:val="333333"/>
      </w:rPr>
      <w:t>/</w:t>
    </w:r>
    <w:fldSimple w:instr=" NUMPAGES  \* MERGEFORMAT ">
      <w:r w:rsidR="006B5012" w:rsidRPr="006B5012">
        <w:rPr>
          <w:rStyle w:val="Nmerodepgina"/>
          <w:noProof/>
          <w:color w:val="333333"/>
        </w:rPr>
        <w:t>2</w:t>
      </w:r>
    </w:fldSimple>
    <w:r w:rsidRPr="001657E9">
      <w:rPr>
        <w:rStyle w:val="Nmerodepgina"/>
        <w:color w:val="333333"/>
      </w:rPr>
      <w:t xml:space="preserve"> </w:t>
    </w:r>
  </w:p>
  <w:p w:rsidR="00601A75" w:rsidRPr="001657E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4F" w:rsidRDefault="003B534F">
      <w:r>
        <w:separator/>
      </w:r>
    </w:p>
  </w:footnote>
  <w:footnote w:type="continuationSeparator" w:id="0">
    <w:p w:rsidR="003B534F" w:rsidRDefault="003B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1657E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6C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57E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B534F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016C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5012"/>
    <w:rsid w:val="006C326A"/>
    <w:rsid w:val="006C40E9"/>
    <w:rsid w:val="006D3303"/>
    <w:rsid w:val="006D5CB7"/>
    <w:rsid w:val="006E3675"/>
    <w:rsid w:val="006E4C9B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44BB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0A33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4FCEB98"/>
  <w15:docId w15:val="{E8F931C2-E955-4C9A-B241-10ABE9ED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C9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E4C9B"/>
    <w:pPr>
      <w:ind w:left="3686"/>
    </w:pPr>
  </w:style>
  <w:style w:type="paragraph" w:styleId="Encabezado">
    <w:name w:val="header"/>
    <w:basedOn w:val="Normal"/>
    <w:link w:val="EncabezadoCar"/>
    <w:uiPriority w:val="99"/>
    <w:rsid w:val="006E4C9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E4C9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E4C9B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57E9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57E9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57E9"/>
    <w:rPr>
      <w:rFonts w:cs="Times New Roman"/>
      <w:vertAlign w:val="superscript"/>
    </w:rPr>
  </w:style>
  <w:style w:type="character" w:styleId="Textoennegrita">
    <w:name w:val="Strong"/>
    <w:basedOn w:val="Fuentedeprrafopredeter"/>
    <w:uiPriority w:val="22"/>
    <w:qFormat/>
    <w:rsid w:val="001657E9"/>
    <w:rPr>
      <w:rFonts w:cs="Times New Roman"/>
      <w:b/>
      <w:bCs/>
    </w:rPr>
  </w:style>
  <w:style w:type="character" w:styleId="nfasis">
    <w:name w:val="Emphasis"/>
    <w:basedOn w:val="Fuentedeprrafopredeter"/>
    <w:uiPriority w:val="20"/>
    <w:qFormat/>
    <w:rsid w:val="001657E9"/>
    <w:rPr>
      <w:rFonts w:cs="Times New Roman"/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44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4BB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arri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BABBE-8F20-4602-AAA8-33DE57DA4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0</TotalTime>
  <Pages>2</Pages>
  <Words>638</Words>
  <Characters>3384</Characters>
  <Application>Microsoft Office Word</Application>
  <DocSecurity>0</DocSecurity>
  <Lines>60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cacarrion</dc:creator>
  <cp:lastModifiedBy>Equipo</cp:lastModifiedBy>
  <cp:revision>2</cp:revision>
  <cp:lastPrinted>2021-02-23T17:44:00Z</cp:lastPrinted>
  <dcterms:created xsi:type="dcterms:W3CDTF">2022-03-02T03:58:00Z</dcterms:created>
  <dcterms:modified xsi:type="dcterms:W3CDTF">2022-03-02T03:58:00Z</dcterms:modified>
</cp:coreProperties>
</file>