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192" w:rsidRDefault="007F2192" w:rsidP="007F2192">
      <w:pPr>
        <w:widowControl w:val="0"/>
        <w:pBdr>
          <w:top w:val="nil"/>
          <w:left w:val="nil"/>
          <w:bottom w:val="nil"/>
          <w:right w:val="nil"/>
          <w:between w:val="nil"/>
        </w:pBdr>
        <w:spacing w:line="276" w:lineRule="auto"/>
        <w:jc w:val="left"/>
      </w:pPr>
    </w:p>
    <w:p w:rsidR="007F2192" w:rsidRDefault="007F2192" w:rsidP="007F2192">
      <w:pPr>
        <w:rPr>
          <w:b/>
        </w:rPr>
      </w:pPr>
    </w:p>
    <w:p w:rsidR="007F2192" w:rsidRDefault="007F2192" w:rsidP="007F2192">
      <w:pPr>
        <w:pBdr>
          <w:top w:val="nil"/>
          <w:left w:val="nil"/>
          <w:bottom w:val="nil"/>
          <w:right w:val="nil"/>
          <w:between w:val="nil"/>
        </w:pBdr>
        <w:tabs>
          <w:tab w:val="center" w:pos="4419"/>
          <w:tab w:val="right" w:pos="8838"/>
        </w:tabs>
        <w:jc w:val="center"/>
        <w:rPr>
          <w:b/>
          <w:color w:val="000000"/>
        </w:rPr>
      </w:pPr>
      <w:r>
        <w:rPr>
          <w:b/>
          <w:color w:val="000000"/>
        </w:rPr>
        <w:t>PROYECTO DE DECLARACIÓN</w:t>
      </w:r>
    </w:p>
    <w:p w:rsidR="007F2192" w:rsidRDefault="007F2192" w:rsidP="007F2192">
      <w:pPr>
        <w:pBdr>
          <w:top w:val="nil"/>
          <w:left w:val="nil"/>
          <w:bottom w:val="nil"/>
          <w:right w:val="nil"/>
          <w:between w:val="nil"/>
        </w:pBdr>
        <w:tabs>
          <w:tab w:val="center" w:pos="4419"/>
          <w:tab w:val="right" w:pos="8838"/>
        </w:tabs>
        <w:rPr>
          <w:color w:val="000000"/>
        </w:rPr>
      </w:pPr>
    </w:p>
    <w:p w:rsidR="007F2192" w:rsidRDefault="007F2192" w:rsidP="007F2192">
      <w:pPr>
        <w:pBdr>
          <w:top w:val="nil"/>
          <w:left w:val="nil"/>
          <w:bottom w:val="nil"/>
          <w:right w:val="nil"/>
          <w:between w:val="nil"/>
        </w:pBdr>
        <w:tabs>
          <w:tab w:val="center" w:pos="4419"/>
          <w:tab w:val="right" w:pos="8838"/>
        </w:tabs>
        <w:rPr>
          <w:color w:val="000000"/>
        </w:rPr>
      </w:pPr>
    </w:p>
    <w:p w:rsidR="007F2192" w:rsidRDefault="007F2192" w:rsidP="007F2192">
      <w:pPr>
        <w:tabs>
          <w:tab w:val="left" w:pos="3375"/>
        </w:tabs>
        <w:rPr>
          <w:highlight w:val="white"/>
        </w:rPr>
      </w:pPr>
      <w:r>
        <w:t xml:space="preserve">La Legislatura de la Ciudad Autónoma de Buenos Aires conmemora </w:t>
      </w:r>
      <w:r>
        <w:rPr>
          <w:highlight w:val="white"/>
        </w:rPr>
        <w:t>el 21 de junio como “el Día Mundial de la Lucha contra la Esclerosis Lateral Amiotrófica (ELA)”, fecha impulsada por asociaciones de pacientes de todo el mundo para concientizar sobre esta enfermedad, unir fuerzas y exigir más investigación.</w:t>
      </w:r>
    </w:p>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 w:rsidR="007F2192" w:rsidRDefault="007F2192" w:rsidP="007F2192">
      <w:pPr>
        <w:pBdr>
          <w:top w:val="nil"/>
          <w:left w:val="nil"/>
          <w:bottom w:val="nil"/>
          <w:right w:val="nil"/>
          <w:between w:val="nil"/>
        </w:pBdr>
        <w:tabs>
          <w:tab w:val="center" w:pos="4419"/>
          <w:tab w:val="right" w:pos="8838"/>
        </w:tabs>
        <w:rPr>
          <w:color w:val="000000"/>
        </w:rPr>
      </w:pPr>
    </w:p>
    <w:p w:rsidR="007F2192" w:rsidRDefault="007F2192" w:rsidP="007F2192"/>
    <w:p w:rsidR="007F2192" w:rsidRDefault="007F2192" w:rsidP="007F2192"/>
    <w:p w:rsidR="007F2192" w:rsidRDefault="007F2192" w:rsidP="007F2192">
      <w:pPr>
        <w:pBdr>
          <w:top w:val="nil"/>
          <w:left w:val="nil"/>
          <w:bottom w:val="nil"/>
          <w:right w:val="nil"/>
          <w:between w:val="nil"/>
        </w:pBdr>
        <w:tabs>
          <w:tab w:val="center" w:pos="4419"/>
          <w:tab w:val="right" w:pos="8838"/>
        </w:tabs>
        <w:rPr>
          <w:color w:val="000000"/>
        </w:rPr>
      </w:pPr>
    </w:p>
    <w:p w:rsidR="007F2192" w:rsidRDefault="007F2192" w:rsidP="007F2192">
      <w:pPr>
        <w:pBdr>
          <w:top w:val="nil"/>
          <w:left w:val="nil"/>
          <w:bottom w:val="nil"/>
          <w:right w:val="nil"/>
          <w:between w:val="nil"/>
        </w:pBdr>
        <w:tabs>
          <w:tab w:val="center" w:pos="4419"/>
          <w:tab w:val="right" w:pos="8838"/>
        </w:tabs>
        <w:rPr>
          <w:color w:val="000000"/>
        </w:rPr>
      </w:pPr>
    </w:p>
    <w:p w:rsidR="007F2192" w:rsidRDefault="007F2192" w:rsidP="007F2192">
      <w:pPr>
        <w:pBdr>
          <w:top w:val="nil"/>
          <w:left w:val="nil"/>
          <w:bottom w:val="nil"/>
          <w:right w:val="nil"/>
          <w:between w:val="nil"/>
        </w:pBdr>
        <w:tabs>
          <w:tab w:val="center" w:pos="4419"/>
          <w:tab w:val="right" w:pos="8838"/>
        </w:tabs>
        <w:rPr>
          <w:color w:val="000000"/>
        </w:rPr>
      </w:pPr>
      <w:r>
        <w:br w:type="page"/>
      </w:r>
    </w:p>
    <w:p w:rsidR="007F2192" w:rsidRDefault="007F2192" w:rsidP="007F2192">
      <w:pPr>
        <w:pBdr>
          <w:top w:val="nil"/>
          <w:left w:val="nil"/>
          <w:bottom w:val="nil"/>
          <w:right w:val="nil"/>
          <w:between w:val="nil"/>
        </w:pBdr>
        <w:tabs>
          <w:tab w:val="center" w:pos="4419"/>
          <w:tab w:val="right" w:pos="8838"/>
        </w:tabs>
        <w:rPr>
          <w:b/>
          <w:color w:val="000000"/>
        </w:rPr>
      </w:pPr>
    </w:p>
    <w:p w:rsidR="007F2192" w:rsidRDefault="007F2192" w:rsidP="007F2192">
      <w:pPr>
        <w:pBdr>
          <w:top w:val="nil"/>
          <w:left w:val="nil"/>
          <w:bottom w:val="nil"/>
          <w:right w:val="nil"/>
          <w:between w:val="nil"/>
        </w:pBdr>
        <w:tabs>
          <w:tab w:val="center" w:pos="4419"/>
          <w:tab w:val="right" w:pos="8838"/>
        </w:tabs>
        <w:jc w:val="center"/>
        <w:rPr>
          <w:b/>
          <w:color w:val="000000"/>
        </w:rPr>
      </w:pPr>
      <w:r>
        <w:rPr>
          <w:b/>
          <w:color w:val="000000"/>
        </w:rPr>
        <w:t>FUNDAMENTOS</w:t>
      </w:r>
    </w:p>
    <w:p w:rsidR="007F2192" w:rsidRDefault="007F2192" w:rsidP="007F2192">
      <w:pPr>
        <w:pBdr>
          <w:top w:val="nil"/>
          <w:left w:val="nil"/>
          <w:bottom w:val="nil"/>
          <w:right w:val="nil"/>
          <w:between w:val="nil"/>
        </w:pBdr>
        <w:tabs>
          <w:tab w:val="center" w:pos="4419"/>
          <w:tab w:val="right" w:pos="8838"/>
        </w:tabs>
        <w:rPr>
          <w:color w:val="000000"/>
        </w:rPr>
      </w:pPr>
    </w:p>
    <w:p w:rsidR="007F2192" w:rsidRDefault="007F2192" w:rsidP="007F2192">
      <w:pPr>
        <w:pBdr>
          <w:top w:val="nil"/>
          <w:left w:val="nil"/>
          <w:bottom w:val="nil"/>
          <w:right w:val="nil"/>
          <w:between w:val="nil"/>
        </w:pBdr>
        <w:tabs>
          <w:tab w:val="center" w:pos="4419"/>
          <w:tab w:val="right" w:pos="8838"/>
        </w:tabs>
        <w:rPr>
          <w:color w:val="000000"/>
        </w:rPr>
      </w:pPr>
    </w:p>
    <w:p w:rsidR="007F2192" w:rsidRDefault="007F2192" w:rsidP="007F2192">
      <w:pPr>
        <w:pBdr>
          <w:top w:val="nil"/>
          <w:left w:val="nil"/>
          <w:bottom w:val="nil"/>
          <w:right w:val="nil"/>
          <w:between w:val="nil"/>
        </w:pBdr>
        <w:tabs>
          <w:tab w:val="center" w:pos="4419"/>
          <w:tab w:val="right" w:pos="8838"/>
        </w:tabs>
        <w:rPr>
          <w:color w:val="000000"/>
        </w:rPr>
      </w:pPr>
      <w:r>
        <w:rPr>
          <w:color w:val="000000"/>
        </w:rPr>
        <w:t>Señor Presidente:</w:t>
      </w:r>
    </w:p>
    <w:p w:rsidR="007F2192" w:rsidRDefault="007F2192" w:rsidP="007F2192">
      <w:pPr>
        <w:pBdr>
          <w:top w:val="nil"/>
          <w:left w:val="nil"/>
          <w:bottom w:val="nil"/>
          <w:right w:val="nil"/>
          <w:between w:val="nil"/>
        </w:pBdr>
        <w:tabs>
          <w:tab w:val="center" w:pos="4419"/>
          <w:tab w:val="right" w:pos="8838"/>
        </w:tabs>
        <w:spacing w:line="276" w:lineRule="auto"/>
        <w:rPr>
          <w:color w:val="000000"/>
        </w:rPr>
      </w:pPr>
    </w:p>
    <w:p w:rsidR="007F2192" w:rsidRDefault="007F2192" w:rsidP="007F2192">
      <w:pPr>
        <w:tabs>
          <w:tab w:val="center" w:pos="4419"/>
          <w:tab w:val="right" w:pos="8838"/>
        </w:tabs>
        <w:spacing w:before="240" w:after="240" w:line="276" w:lineRule="auto"/>
      </w:pPr>
      <w:r>
        <w:t>En 1996, durante la VI Reunión de la Alianza Internacional de Asociaciones de Esclerosis Lateral Amiotrófica (ELA), que se llevó a cabo en el año 1996 en Chicago, se acordó la conmemoración del Día Mundial de la ELA o Día Mundial de la Lucha contra el ELA, todos los 21 de junio de cada año.</w:t>
      </w:r>
    </w:p>
    <w:p w:rsidR="007F2192" w:rsidRDefault="007F2192" w:rsidP="007F2192">
      <w:pPr>
        <w:tabs>
          <w:tab w:val="left" w:pos="3375"/>
        </w:tabs>
        <w:spacing w:line="276" w:lineRule="auto"/>
        <w:rPr>
          <w:highlight w:val="white"/>
        </w:rPr>
      </w:pPr>
      <w:r>
        <w:rPr>
          <w:highlight w:val="white"/>
        </w:rPr>
        <w:t>El 21 de junio es una fecha para generar conciencia sobre esta enfermedad, unir fuerzas y exigir más investigación, que es uno de los pilares fundamentales para conseguir aumentar la esperanza de vida de los pacientes con ELA.</w:t>
      </w:r>
    </w:p>
    <w:p w:rsidR="007F2192" w:rsidRDefault="007F2192" w:rsidP="007F2192">
      <w:pPr>
        <w:tabs>
          <w:tab w:val="left" w:pos="3375"/>
        </w:tabs>
        <w:spacing w:line="276" w:lineRule="auto"/>
        <w:rPr>
          <w:highlight w:val="white"/>
        </w:rPr>
      </w:pPr>
    </w:p>
    <w:p w:rsidR="007F2192" w:rsidRDefault="007F2192" w:rsidP="007F2192">
      <w:pPr>
        <w:tabs>
          <w:tab w:val="left" w:pos="3375"/>
        </w:tabs>
        <w:spacing w:line="276" w:lineRule="auto"/>
        <w:rPr>
          <w:highlight w:val="white"/>
        </w:rPr>
      </w:pPr>
      <w:r>
        <w:rPr>
          <w:highlight w:val="white"/>
        </w:rPr>
        <w:t>La Esclerosis Lateral Amiotrófica es una enfermedad neurodegenerativa, que se caracteriza por una atrofia progresiva de todos los músculos del organismo excepto el corazón y la musculatura que controla la motilidad ocular y de los esfínteres (vesical y anal), sin producir alteraciones de la sensibilidad.</w:t>
      </w:r>
    </w:p>
    <w:p w:rsidR="007F2192" w:rsidRDefault="007F2192" w:rsidP="007F2192">
      <w:pPr>
        <w:tabs>
          <w:tab w:val="left" w:pos="3375"/>
        </w:tabs>
        <w:spacing w:line="276" w:lineRule="auto"/>
        <w:rPr>
          <w:highlight w:val="white"/>
        </w:rPr>
      </w:pPr>
    </w:p>
    <w:p w:rsidR="007F2192" w:rsidRDefault="007F2192" w:rsidP="007F2192">
      <w:pPr>
        <w:tabs>
          <w:tab w:val="left" w:pos="3375"/>
        </w:tabs>
        <w:spacing w:line="276" w:lineRule="auto"/>
        <w:rPr>
          <w:highlight w:val="white"/>
        </w:rPr>
      </w:pPr>
      <w:r>
        <w:rPr>
          <w:highlight w:val="white"/>
        </w:rPr>
        <w:t xml:space="preserve">La ELA provoca una parálisis muscular progresiva. Los pacientes ven afectada rápidamente su actividad muscular voluntaria esencial, que afectan a procesos tan básicos como el habla, la respiración, la capacidad para comer o para caminar. </w:t>
      </w:r>
    </w:p>
    <w:p w:rsidR="007F2192" w:rsidRDefault="007F2192" w:rsidP="007F2192">
      <w:pPr>
        <w:tabs>
          <w:tab w:val="left" w:pos="3375"/>
        </w:tabs>
        <w:spacing w:line="276" w:lineRule="auto"/>
        <w:rPr>
          <w:highlight w:val="white"/>
        </w:rPr>
      </w:pPr>
    </w:p>
    <w:p w:rsidR="007F2192" w:rsidRDefault="007F2192" w:rsidP="007F2192">
      <w:pPr>
        <w:tabs>
          <w:tab w:val="left" w:pos="3375"/>
        </w:tabs>
        <w:spacing w:line="276" w:lineRule="auto"/>
        <w:rPr>
          <w:highlight w:val="white"/>
        </w:rPr>
      </w:pPr>
      <w:r>
        <w:rPr>
          <w:highlight w:val="white"/>
        </w:rPr>
        <w:t xml:space="preserve">Las causas de la ELA son desconocidas. Solo entre el 5% y el 10% de los casos tienen un origen genético hereditario. En lo que respecta a los factores de riesgo, los primeros síntomas de la enfermedad suelen aparecer en la sexta década de vida del paciente y afecta más a hombres que a mujeres. Por tanto, ser varón de más de 60 años son los únicos factores que se pueden concluir. </w:t>
      </w:r>
    </w:p>
    <w:p w:rsidR="007F2192" w:rsidRDefault="007F2192" w:rsidP="007F2192">
      <w:pPr>
        <w:tabs>
          <w:tab w:val="left" w:pos="3375"/>
        </w:tabs>
        <w:spacing w:line="276" w:lineRule="auto"/>
        <w:rPr>
          <w:highlight w:val="white"/>
        </w:rPr>
      </w:pPr>
    </w:p>
    <w:p w:rsidR="007F2192" w:rsidRDefault="007F2192" w:rsidP="007F2192">
      <w:pPr>
        <w:tabs>
          <w:tab w:val="left" w:pos="3375"/>
        </w:tabs>
        <w:spacing w:line="276" w:lineRule="auto"/>
        <w:rPr>
          <w:highlight w:val="white"/>
        </w:rPr>
      </w:pPr>
      <w:r>
        <w:rPr>
          <w:highlight w:val="white"/>
        </w:rPr>
        <w:t>Dado el carácter progresivo e incurable de esta enfermedad, los pacientes evolucionan hasta la parálisis completa. La</w:t>
      </w:r>
      <w:r>
        <w:rPr>
          <w:b/>
          <w:highlight w:val="white"/>
        </w:rPr>
        <w:t xml:space="preserve"> </w:t>
      </w:r>
      <w:r>
        <w:rPr>
          <w:highlight w:val="white"/>
        </w:rPr>
        <w:t>tasa de</w:t>
      </w:r>
      <w:r>
        <w:rPr>
          <w:b/>
          <w:highlight w:val="white"/>
        </w:rPr>
        <w:t> </w:t>
      </w:r>
      <w:r>
        <w:rPr>
          <w:highlight w:val="white"/>
        </w:rPr>
        <w:t>mortalidad es de un 50% en los primeros tres años desde la aparición de la enfermedad, del 80% en los primeros cinco años y de hasta un 95% en los primeros 10 años.</w:t>
      </w:r>
    </w:p>
    <w:p w:rsidR="007F2192" w:rsidRDefault="007F2192" w:rsidP="007F2192">
      <w:pPr>
        <w:tabs>
          <w:tab w:val="left" w:pos="3375"/>
        </w:tabs>
        <w:spacing w:line="276" w:lineRule="auto"/>
        <w:rPr>
          <w:highlight w:val="white"/>
        </w:rPr>
      </w:pPr>
    </w:p>
    <w:p w:rsidR="007F2192" w:rsidRDefault="007F2192" w:rsidP="007F2192">
      <w:pPr>
        <w:pBdr>
          <w:top w:val="nil"/>
          <w:left w:val="nil"/>
          <w:bottom w:val="nil"/>
          <w:right w:val="nil"/>
          <w:between w:val="nil"/>
        </w:pBdr>
        <w:tabs>
          <w:tab w:val="center" w:pos="4419"/>
          <w:tab w:val="right" w:pos="8838"/>
        </w:tabs>
        <w:spacing w:line="276" w:lineRule="auto"/>
        <w:rPr>
          <w:color w:val="000000"/>
        </w:rPr>
      </w:pPr>
      <w:r>
        <w:rPr>
          <w:color w:val="000000"/>
        </w:rPr>
        <w:t>Es por lo anteriormente expuesto que solicito a mis pares la aprobación de este proyecto.</w:t>
      </w:r>
    </w:p>
    <w:p w:rsidR="007F2192" w:rsidRDefault="007F2192" w:rsidP="007F2192">
      <w:pPr>
        <w:spacing w:line="276" w:lineRule="auto"/>
      </w:pPr>
    </w:p>
    <w:p w:rsidR="007F2192" w:rsidRDefault="007F2192" w:rsidP="007F2192">
      <w:pPr>
        <w:rPr>
          <w:sz w:val="22"/>
          <w:szCs w:val="22"/>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1D79" w:rsidRDefault="00CC1D79">
      <w:r>
        <w:separator/>
      </w:r>
    </w:p>
  </w:endnote>
  <w:endnote w:type="continuationSeparator" w:id="1">
    <w:p w:rsidR="00CC1D79" w:rsidRDefault="00CC1D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F2192" w:rsidRPr="007F2192">
        <w:rPr>
          <w:noProof/>
          <w:color w:val="333333"/>
          <w:sz w:val="20"/>
        </w:rPr>
        <w:t>00/00/0000 0:00:00</w:t>
      </w:r>
    </w:fldSimple>
    <w:r w:rsidRPr="001C19C4">
      <w:rPr>
        <w:color w:val="333333"/>
        <w:sz w:val="20"/>
      </w:rPr>
      <w:t xml:space="preserve">  -  Cantidad de caracteres: </w:t>
    </w:r>
    <w:fldSimple w:instr=" NUMCHARS  \* MERGEFORMAT ">
      <w:r w:rsidR="007F2192" w:rsidRPr="007F2192">
        <w:rPr>
          <w:noProof/>
          <w:color w:val="333333"/>
          <w:sz w:val="20"/>
        </w:rPr>
        <w:t>1820</w:t>
      </w:r>
    </w:fldSimple>
    <w:r w:rsidRPr="001C19C4">
      <w:rPr>
        <w:color w:val="333333"/>
        <w:sz w:val="20"/>
      </w:rPr>
      <w:t xml:space="preserve"> - Cantidad de palabras: </w:t>
    </w:r>
    <w:fldSimple w:instr=" NUMWORDS  \* MERGEFORMAT ">
      <w:r w:rsidR="007F2192" w:rsidRPr="007F2192">
        <w:rPr>
          <w:noProof/>
          <w:color w:val="333333"/>
          <w:sz w:val="20"/>
        </w:rPr>
        <w:t>367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320BF" w:rsidRPr="001C19C4">
      <w:rPr>
        <w:rStyle w:val="Nmerodepgina"/>
        <w:color w:val="333333"/>
      </w:rPr>
      <w:fldChar w:fldCharType="begin"/>
    </w:r>
    <w:r w:rsidRPr="001C19C4">
      <w:rPr>
        <w:rStyle w:val="Nmerodepgina"/>
        <w:color w:val="333333"/>
      </w:rPr>
      <w:instrText xml:space="preserve"> PAGE </w:instrText>
    </w:r>
    <w:r w:rsidR="00F320BF" w:rsidRPr="001C19C4">
      <w:rPr>
        <w:rStyle w:val="Nmerodepgina"/>
        <w:color w:val="333333"/>
      </w:rPr>
      <w:fldChar w:fldCharType="separate"/>
    </w:r>
    <w:r w:rsidR="007F2192">
      <w:rPr>
        <w:rStyle w:val="Nmerodepgina"/>
        <w:noProof/>
        <w:color w:val="333333"/>
      </w:rPr>
      <w:t>2</w:t>
    </w:r>
    <w:r w:rsidR="00F320BF" w:rsidRPr="001C19C4">
      <w:rPr>
        <w:rStyle w:val="Nmerodepgina"/>
        <w:color w:val="333333"/>
      </w:rPr>
      <w:fldChar w:fldCharType="end"/>
    </w:r>
    <w:r w:rsidRPr="001C19C4">
      <w:rPr>
        <w:rStyle w:val="Nmerodepgina"/>
        <w:color w:val="333333"/>
      </w:rPr>
      <w:t>/</w:t>
    </w:r>
    <w:fldSimple w:instr=" NUMPAGES  \* MERGEFORMAT ">
      <w:r w:rsidR="007F2192" w:rsidRPr="007F2192">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1D79" w:rsidRDefault="00CC1D79">
      <w:r>
        <w:separator/>
      </w:r>
    </w:p>
  </w:footnote>
  <w:footnote w:type="continuationSeparator" w:id="1">
    <w:p w:rsidR="00CC1D79" w:rsidRDefault="00CC1D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CC1D7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2192"/>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1D79"/>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320BF"/>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19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gravan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2</Pages>
  <Words>367</Words>
  <Characters>1820</Characters>
  <Application>Microsoft Office Word</Application>
  <DocSecurity>0</DocSecurity>
  <Lines>88</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lugravano</dc:creator>
  <cp:lastModifiedBy>lugravano</cp:lastModifiedBy>
  <cp:revision>1</cp:revision>
  <cp:lastPrinted>2020-02-28T17:24:00Z</cp:lastPrinted>
  <dcterms:created xsi:type="dcterms:W3CDTF">2022-02-25T18:45:00Z</dcterms:created>
  <dcterms:modified xsi:type="dcterms:W3CDTF">2022-02-25T18:46:00Z</dcterms:modified>
</cp:coreProperties>
</file>