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8CC" w:rsidRDefault="00B678CC" w:rsidP="00B678CC">
      <w:pPr>
        <w:spacing w:after="240" w:line="360" w:lineRule="auto"/>
        <w:jc w:val="center"/>
        <w:rPr>
          <w:b/>
        </w:rPr>
      </w:pPr>
      <w:r>
        <w:rPr>
          <w:b/>
        </w:rPr>
        <w:t>PROYECTO DE DECLARACIÓN</w:t>
      </w:r>
    </w:p>
    <w:p w:rsidR="00B678CC" w:rsidRDefault="00B678CC" w:rsidP="00B678CC">
      <w:pPr>
        <w:spacing w:line="360" w:lineRule="auto"/>
      </w:pPr>
      <w:r>
        <w:t>La Legislatura de la Ciudad Autónoma de Buenos Aires conmemora el “Día Internacional de Acción por la Tolerancia y el Respeto entre los Pueblos”, al cumplirse un nuevo aniversario del genocidio armenio iniciado por el imperio Otomano en 1915 y que se extendió hasta 1923, que se celebra el día 24 de abril  de cada año. </w:t>
      </w:r>
    </w:p>
    <w:p w:rsidR="00B678CC" w:rsidRDefault="00B678CC" w:rsidP="00B678CC">
      <w:pPr>
        <w:jc w:val="left"/>
      </w:pPr>
      <w:r>
        <w:br w:type="page"/>
      </w:r>
    </w:p>
    <w:p w:rsidR="00B678CC" w:rsidRDefault="00B678CC" w:rsidP="00B678CC">
      <w:pPr>
        <w:spacing w:after="240" w:line="360" w:lineRule="auto"/>
        <w:jc w:val="center"/>
        <w:rPr>
          <w:b/>
        </w:rPr>
      </w:pPr>
      <w:r>
        <w:rPr>
          <w:b/>
        </w:rPr>
        <w:lastRenderedPageBreak/>
        <w:t>FUNDAMENTOS</w:t>
      </w:r>
    </w:p>
    <w:p w:rsidR="00B678CC" w:rsidRDefault="00B678CC" w:rsidP="00B678CC">
      <w:pPr>
        <w:spacing w:after="240" w:line="360" w:lineRule="auto"/>
      </w:pPr>
      <w:r>
        <w:t>Sr. Presidente:</w:t>
      </w:r>
    </w:p>
    <w:p w:rsidR="00B678CC" w:rsidRDefault="00B678CC" w:rsidP="00B678CC">
      <w:pPr>
        <w:spacing w:after="240" w:line="360" w:lineRule="auto"/>
        <w:ind w:firstLine="851"/>
      </w:pPr>
      <w:r>
        <w:t>El día 24 de abril del corriente año se conmemorará el 107° aniversario del Genocidio Armenio, en cuya memoria se estableció el “Día de acción por la tolerancia y el respeto entre los pueblos”. El Genocidio Armenio fue el intento de exterminio sistemático del pueblo armenio perpetrado por el Imperio Otomano desde el año 1915, en el contexto de la Primera Guerra Mundial, hasta el año 1923. Si bien se registran matanzas previas, fue el 24 de abril del año 1915 cuando las autoridades otomanas asesinaron a unos 250 intelectuales y líderes armenios en Constantinopla.</w:t>
      </w:r>
    </w:p>
    <w:p w:rsidR="00B678CC" w:rsidRDefault="00B678CC" w:rsidP="00B678CC">
      <w:pPr>
        <w:spacing w:after="240" w:line="360" w:lineRule="auto"/>
        <w:ind w:firstLine="851"/>
      </w:pPr>
      <w:r>
        <w:t>En lo que se conoce como el Domingo Rojo centenares de intelectuales y líderes armenios fueron encarcelados. A esta acción, le siguieron muchas otras en donde solo la nacionalidad armenia era la variable para vivir en primera persona los horrores cometidos por los perpetradores. Se estima que más de un millón y medio de armenios, y en menor cantidad, asirios y griegos, fueron asesinados sistemáticamente mediante, entre otros métodos, la deportación masiva que obligó a  caminatas forzadas a través del desierto sirio, donde sufrieron torturas, violaciones y desnutrición.</w:t>
      </w:r>
    </w:p>
    <w:p w:rsidR="00B678CC" w:rsidRDefault="00B678CC" w:rsidP="00B678CC">
      <w:pPr>
        <w:spacing w:after="240" w:line="360" w:lineRule="auto"/>
        <w:ind w:firstLine="851"/>
      </w:pPr>
      <w:r>
        <w:t>En 1948, se adoptó la Convención para la Prevención y la Sanción del Delito de Genocidio, estableciendo que “el genocidio es un delito de derecho internacional contrario al espíritu y a los fines de las Naciones Unidas y que el mundo civilizado condena”. La Convención, actualmente ratificada por más de 130 Estados, entiende por genocidio a aquellos actos</w:t>
      </w:r>
    </w:p>
    <w:p w:rsidR="00B678CC" w:rsidRDefault="00B678CC" w:rsidP="00B678CC">
      <w:pPr>
        <w:spacing w:after="240" w:line="360" w:lineRule="auto"/>
        <w:ind w:left="283" w:right="329" w:firstLine="855"/>
        <w:rPr>
          <w:sz w:val="22"/>
          <w:szCs w:val="22"/>
        </w:rPr>
      </w:pPr>
      <w:r>
        <w:rPr>
          <w:sz w:val="22"/>
          <w:szCs w:val="22"/>
        </w:rPr>
        <w:t>“perpetrados con la intención de destruir, total o parcialmente, a un grupo nacional, étnico, racial o religioso (…): a. matanza de miembros del grupo, b. lesión grave a la integridad física o mental de los miembros del grupo, c. sometimiento intencional del grupo a condiciones de existencia que hayan de acarrear su destrucción física, total o parcial, d. medidas destinadas a impedir los nacimientos en el seno del grupo d. traslado por fuerza de niños del grupo a otro grupo</w:t>
      </w:r>
      <w:r>
        <w:rPr>
          <w:i/>
          <w:sz w:val="22"/>
          <w:szCs w:val="22"/>
        </w:rPr>
        <w:t>”</w:t>
      </w:r>
      <w:r>
        <w:rPr>
          <w:sz w:val="22"/>
          <w:szCs w:val="22"/>
        </w:rPr>
        <w:t xml:space="preserve"> (Art. 2)</w:t>
      </w:r>
    </w:p>
    <w:p w:rsidR="00B678CC" w:rsidRDefault="00B678CC" w:rsidP="00B678CC">
      <w:pPr>
        <w:spacing w:after="240" w:line="360" w:lineRule="auto"/>
        <w:ind w:firstLine="851"/>
      </w:pPr>
      <w:r>
        <w:t xml:space="preserve"> Mediante dicho instrumento se estableció la tipificación del crimen internacional, así como las penas contra quienes lo perpetran, incluyendo la asociación para cometerlo, la instigación directa y pública, la tentativa y la complicidad en el genocidio.</w:t>
      </w:r>
    </w:p>
    <w:p w:rsidR="00B678CC" w:rsidRDefault="00B678CC" w:rsidP="00B678CC">
      <w:pPr>
        <w:spacing w:after="240" w:line="360" w:lineRule="auto"/>
        <w:ind w:firstLine="851"/>
      </w:pPr>
      <w:r>
        <w:t xml:space="preserve">Argentina fue uno de los primeros países en reconocer lo sucedido como genocidio cuando, en 1983, con el regreso de la Democracia, nuestro país dio a conocer varias declaraciones relativas a lo sucedido en el año 1915, muchas de ellas apoyadas </w:t>
      </w:r>
      <w:r>
        <w:lastRenderedPageBreak/>
        <w:t>incluso por Naciones Unidas. En 1987 el presidente Raúl Alfonsín declaró públicamente ante representantes de la colectividad armenia: “Sé muy bien que sus padres, sus abuelos, a lo mejor ustedes mismos, han llegado a nuestra tierra empujados por acontecimientos dolorosos, en momentos durísimos, quizás de los más duros que ha debido sufrir un pueblo todo, como fue el genocidio de 1915”. Asimismo, en el año 1996, el entonces Concejo Deliberante de la Ciudad Autónoma de Buenos Aires, consideró al Genocidio Armenio, como primer genocidio del siglo XX dentro de los contenidos curriculares de las escuelas dependientes de la Secretaría de Educación de la Municipalidad de la Ciudad de Buenos Aires.</w:t>
      </w:r>
    </w:p>
    <w:p w:rsidR="00B678CC" w:rsidRDefault="00B678CC" w:rsidP="00B678CC">
      <w:pPr>
        <w:spacing w:after="240" w:line="360" w:lineRule="auto"/>
        <w:ind w:firstLine="851"/>
      </w:pPr>
      <w:r>
        <w:t xml:space="preserve">Finalmente, en 2007, mediante la Ley Nacional N° 26.199, el Congreso de la Nación instituyó el 24 de abril como fecha simbólica para la conmemoración del genocidio de los armenios “con el espíritu de que su memoria sea una lección permanente sobre los pasos del presente y las metas de nuestro futuro”. Esta Legislatura adhirió a la aludida norma en el año 2008 mediante la Ley N° 2.675. </w:t>
      </w:r>
    </w:p>
    <w:p w:rsidR="00B678CC" w:rsidRDefault="00B678CC" w:rsidP="00B678CC">
      <w:pPr>
        <w:spacing w:after="240" w:line="360" w:lineRule="auto"/>
        <w:ind w:firstLine="851"/>
      </w:pPr>
      <w:r>
        <w:t xml:space="preserve">Armenia tiene una población de más de tres millones de habitantes y se estima que en el resto del mundo residen cerca de diez millones de armenios y descendientes. Rusia es quien alberga la mayor cantidad: unos 2,5 millones. Luego siguen Estados Unidos, Francia, Irán, Ucrania, Georgia, Siria, Líbano y Argentina. La población armenia en Argentina es la mayor en Latinoamérica. </w:t>
      </w:r>
    </w:p>
    <w:p w:rsidR="00B678CC" w:rsidRDefault="00B678CC" w:rsidP="00B678CC">
      <w:pPr>
        <w:spacing w:after="240" w:line="360" w:lineRule="auto"/>
        <w:ind w:firstLine="851"/>
      </w:pPr>
      <w:r>
        <w:t xml:space="preserve">Por todo lo expuesto y a fin de recordar a las víctimas del Genocidio Armenio, en solidaridad con su pueblo y la Colectividad Armenia de la Ciudad, solicito a mis pares el acompañamiento al presente proyecto. </w:t>
      </w:r>
    </w:p>
    <w:p w:rsidR="00B678CC" w:rsidRDefault="00B678CC" w:rsidP="00B678CC">
      <w:pPr>
        <w:spacing w:after="240" w:line="360" w:lineRule="auto"/>
      </w:pPr>
    </w:p>
    <w:p w:rsidR="00B678CC" w:rsidRDefault="00B678CC" w:rsidP="00B678CC">
      <w:pPr>
        <w:spacing w:after="240" w:line="360" w:lineRule="auto"/>
        <w:jc w:val="left"/>
      </w:pPr>
      <w:r>
        <w:br w:type="page"/>
      </w:r>
    </w:p>
    <w:p w:rsidR="00B678CC" w:rsidRDefault="00B678CC" w:rsidP="00B678CC">
      <w:pPr>
        <w:spacing w:after="240" w:line="360" w:lineRule="auto"/>
      </w:pP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031C" w:rsidRDefault="009E031C">
      <w:r>
        <w:separator/>
      </w:r>
    </w:p>
  </w:endnote>
  <w:endnote w:type="continuationSeparator" w:id="0">
    <w:p w:rsidR="009E031C" w:rsidRDefault="009E031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1C73A6" w:rsidRPr="001C73A6">
        <w:rPr>
          <w:noProof/>
          <w:color w:val="333333"/>
          <w:sz w:val="20"/>
        </w:rPr>
        <w:t>17/02/2022 15:59:00</w:t>
      </w:r>
    </w:fldSimple>
    <w:r w:rsidRPr="001C19C4">
      <w:rPr>
        <w:color w:val="333333"/>
        <w:sz w:val="20"/>
      </w:rPr>
      <w:t xml:space="preserve">  -  Cantidad de caracteres: </w:t>
    </w:r>
    <w:fldSimple w:instr=" NUMCHARS  \* MERGEFORMAT ">
      <w:r w:rsidR="001C73A6" w:rsidRPr="001C73A6">
        <w:rPr>
          <w:noProof/>
          <w:color w:val="333333"/>
          <w:sz w:val="20"/>
        </w:rPr>
        <w:t>3798</w:t>
      </w:r>
    </w:fldSimple>
    <w:r w:rsidRPr="001C19C4">
      <w:rPr>
        <w:color w:val="333333"/>
        <w:sz w:val="20"/>
      </w:rPr>
      <w:t xml:space="preserve"> - Cantidad de palabras: </w:t>
    </w:r>
    <w:fldSimple w:instr=" NUMWORDS  \* MERGEFORMAT ">
      <w:r w:rsidR="001C73A6" w:rsidRPr="001C73A6">
        <w:rPr>
          <w:noProof/>
          <w:color w:val="333333"/>
          <w:sz w:val="20"/>
        </w:rPr>
        <w:t>739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23322" w:rsidRPr="001C19C4">
      <w:rPr>
        <w:rStyle w:val="Nmerodepgina"/>
        <w:color w:val="333333"/>
      </w:rPr>
      <w:fldChar w:fldCharType="begin"/>
    </w:r>
    <w:r w:rsidRPr="001C19C4">
      <w:rPr>
        <w:rStyle w:val="Nmerodepgina"/>
        <w:color w:val="333333"/>
      </w:rPr>
      <w:instrText xml:space="preserve"> PAGE </w:instrText>
    </w:r>
    <w:r w:rsidR="00323322" w:rsidRPr="001C19C4">
      <w:rPr>
        <w:rStyle w:val="Nmerodepgina"/>
        <w:color w:val="333333"/>
      </w:rPr>
      <w:fldChar w:fldCharType="separate"/>
    </w:r>
    <w:r w:rsidR="001C73A6">
      <w:rPr>
        <w:rStyle w:val="Nmerodepgina"/>
        <w:noProof/>
        <w:color w:val="333333"/>
      </w:rPr>
      <w:t>4</w:t>
    </w:r>
    <w:r w:rsidR="00323322" w:rsidRPr="001C19C4">
      <w:rPr>
        <w:rStyle w:val="Nmerodepgina"/>
        <w:color w:val="333333"/>
      </w:rPr>
      <w:fldChar w:fldCharType="end"/>
    </w:r>
    <w:r w:rsidRPr="001C19C4">
      <w:rPr>
        <w:rStyle w:val="Nmerodepgina"/>
        <w:color w:val="333333"/>
      </w:rPr>
      <w:t>/</w:t>
    </w:r>
    <w:fldSimple w:instr=" NUMPAGES  \* MERGEFORMAT ">
      <w:r w:rsidR="001C73A6" w:rsidRPr="001C73A6">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031C" w:rsidRDefault="009E031C">
      <w:r>
        <w:separator/>
      </w:r>
    </w:p>
  </w:footnote>
  <w:footnote w:type="continuationSeparator" w:id="0">
    <w:p w:rsidR="009E031C" w:rsidRDefault="009E031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1"/>
    <w:footnote w:id="0"/>
  </w:footnotePr>
  <w:endnotePr>
    <w:endnote w:id="-1"/>
    <w:endnote w:id="0"/>
  </w:endnotePr>
  <w:compat/>
  <w:rsids>
    <w:rsidRoot w:val="0067645F"/>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C73A6"/>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23322"/>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7645F"/>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031C"/>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678CC"/>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78CC"/>
    <w:pPr>
      <w:jc w:val="both"/>
    </w:pPr>
    <w:rPr>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rPr>
      <w:szCs w:val="20"/>
    </w:rPr>
  </w:style>
  <w:style w:type="paragraph" w:styleId="Encabezado">
    <w:name w:val="header"/>
    <w:basedOn w:val="Normal"/>
    <w:link w:val="EncabezadoCar"/>
    <w:uiPriority w:val="99"/>
    <w:rsid w:val="00395843"/>
    <w:pPr>
      <w:tabs>
        <w:tab w:val="center" w:pos="4419"/>
        <w:tab w:val="right" w:pos="8838"/>
      </w:tabs>
    </w:pPr>
    <w:rPr>
      <w:szCs w:val="20"/>
    </w:rPr>
  </w:style>
  <w:style w:type="paragraph" w:styleId="Piedepgina">
    <w:name w:val="footer"/>
    <w:basedOn w:val="Normal"/>
    <w:rsid w:val="00395843"/>
    <w:pPr>
      <w:tabs>
        <w:tab w:val="center" w:pos="4419"/>
        <w:tab w:val="right" w:pos="8838"/>
      </w:tabs>
    </w:pPr>
    <w:rPr>
      <w:szCs w:val="20"/>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tilopez\Downloads\6be2afe5-e9df-426b-8515-eceea4b1aa5f%20(4).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7E2209-50A0-459C-9CA2-04A198C13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(4)</Template>
  <TotalTime>1</TotalTime>
  <Pages>4</Pages>
  <Words>739</Words>
  <Characters>3798</Characters>
  <Application>Microsoft Office Word</Application>
  <DocSecurity>0</DocSecurity>
  <Lines>65</Lines>
  <Paragraphs>15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matilopez</dc:creator>
  <cp:lastModifiedBy>matilopez</cp:lastModifiedBy>
  <cp:revision>4</cp:revision>
  <cp:lastPrinted>2020-02-28T17:24:00Z</cp:lastPrinted>
  <dcterms:created xsi:type="dcterms:W3CDTF">2022-02-17T18:58:00Z</dcterms:created>
  <dcterms:modified xsi:type="dcterms:W3CDTF">2022-02-17T18:59:00Z</dcterms:modified>
</cp:coreProperties>
</file>