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547" w:rsidRPr="00612547" w:rsidRDefault="00612547" w:rsidP="00612547">
      <w:pPr>
        <w:jc w:val="center"/>
        <w:rPr>
          <w:szCs w:val="24"/>
          <w:lang w:val="es-AR" w:eastAsia="es-AR"/>
        </w:rPr>
      </w:pPr>
      <w:r w:rsidRPr="00612547">
        <w:rPr>
          <w:b/>
          <w:bCs/>
          <w:color w:val="000000"/>
          <w:szCs w:val="24"/>
          <w:lang w:val="es-AR" w:eastAsia="es-AR"/>
        </w:rPr>
        <w:t>PROYECTO DE RESOLUCIÓN</w:t>
      </w:r>
    </w:p>
    <w:p w:rsidR="00612547" w:rsidRPr="00612547" w:rsidRDefault="00612547" w:rsidP="00612547">
      <w:pPr>
        <w:jc w:val="left"/>
        <w:rPr>
          <w:szCs w:val="24"/>
          <w:lang w:val="es-AR" w:eastAsia="es-AR"/>
        </w:rPr>
      </w:pPr>
    </w:p>
    <w:p w:rsidR="00612547" w:rsidRPr="00612547" w:rsidRDefault="00612547" w:rsidP="00612547">
      <w:pPr>
        <w:rPr>
          <w:szCs w:val="24"/>
          <w:lang w:val="es-AR" w:eastAsia="es-AR"/>
        </w:rPr>
      </w:pPr>
      <w:r w:rsidRPr="00612547">
        <w:rPr>
          <w:b/>
          <w:bCs/>
          <w:color w:val="000000"/>
          <w:szCs w:val="24"/>
          <w:lang w:val="es-AR" w:eastAsia="es-AR"/>
        </w:rPr>
        <w:t xml:space="preserve">Artículo 1º.- </w:t>
      </w:r>
      <w:r w:rsidRPr="00612547">
        <w:rPr>
          <w:color w:val="000000"/>
          <w:szCs w:val="24"/>
          <w:lang w:val="es-AR" w:eastAsia="es-AR"/>
        </w:rPr>
        <w:t> Dispóngase la colocación de una placa conmemorativa en el hall de entrada al Aula Magna de la Academia Nacional de Medicina cita en Av. Las Heras 3092, de esta Ciudad Autónoma de Buenos Aires, por el 200° aniversario de la fundación de la Academia Nacional de Medicina.</w:t>
      </w:r>
    </w:p>
    <w:p w:rsidR="00612547" w:rsidRPr="00612547" w:rsidRDefault="00612547" w:rsidP="00612547">
      <w:pPr>
        <w:jc w:val="left"/>
        <w:rPr>
          <w:szCs w:val="24"/>
          <w:lang w:val="es-AR" w:eastAsia="es-AR"/>
        </w:rPr>
      </w:pPr>
    </w:p>
    <w:p w:rsidR="00612547" w:rsidRPr="00612547" w:rsidRDefault="00612547" w:rsidP="00612547">
      <w:pPr>
        <w:shd w:val="clear" w:color="auto" w:fill="FFFFFF"/>
        <w:rPr>
          <w:szCs w:val="24"/>
          <w:lang w:val="es-AR" w:eastAsia="es-AR"/>
        </w:rPr>
      </w:pPr>
      <w:r w:rsidRPr="00612547">
        <w:rPr>
          <w:b/>
          <w:bCs/>
          <w:color w:val="000000"/>
          <w:szCs w:val="24"/>
          <w:lang w:val="es-AR" w:eastAsia="es-AR"/>
        </w:rPr>
        <w:t>Artículo 2º.-</w:t>
      </w:r>
      <w:r w:rsidRPr="00612547">
        <w:rPr>
          <w:color w:val="000000"/>
          <w:szCs w:val="24"/>
          <w:lang w:val="es-AR" w:eastAsia="es-AR"/>
        </w:rPr>
        <w:t> La placa dispuesta por el artículo 1° contendrá el siguiente texto:</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Pr="00612547" w:rsidRDefault="00612547" w:rsidP="00612547">
      <w:pPr>
        <w:jc w:val="center"/>
        <w:rPr>
          <w:szCs w:val="24"/>
          <w:lang w:val="es-AR" w:eastAsia="es-AR"/>
        </w:rPr>
      </w:pPr>
      <w:r w:rsidRPr="00612547">
        <w:rPr>
          <w:rFonts w:ascii="Tahoma" w:hAnsi="Tahoma" w:cs="Tahoma"/>
          <w:b/>
          <w:bCs/>
          <w:color w:val="000000"/>
          <w:sz w:val="22"/>
          <w:szCs w:val="22"/>
          <w:shd w:val="clear" w:color="auto" w:fill="FFFFFF"/>
          <w:lang w:val="es-AR" w:eastAsia="es-AR"/>
        </w:rPr>
        <w:t>(ESCUDO DE LA LEGISLATURA)</w:t>
      </w:r>
    </w:p>
    <w:p w:rsidR="00612547" w:rsidRPr="00612547" w:rsidRDefault="00612547" w:rsidP="00612547">
      <w:pPr>
        <w:jc w:val="center"/>
        <w:rPr>
          <w:szCs w:val="24"/>
          <w:lang w:val="es-AR" w:eastAsia="es-AR"/>
        </w:rPr>
      </w:pPr>
      <w:r w:rsidRPr="00612547">
        <w:rPr>
          <w:rFonts w:ascii="Tahoma" w:hAnsi="Tahoma" w:cs="Tahoma"/>
          <w:b/>
          <w:bCs/>
          <w:color w:val="000000"/>
          <w:sz w:val="22"/>
          <w:szCs w:val="22"/>
          <w:shd w:val="clear" w:color="auto" w:fill="FFFFFF"/>
          <w:lang w:val="es-AR" w:eastAsia="es-AR"/>
        </w:rPr>
        <w:t>1822- 2022</w:t>
      </w:r>
    </w:p>
    <w:p w:rsidR="00612547" w:rsidRPr="00612547" w:rsidRDefault="00612547" w:rsidP="00612547">
      <w:pPr>
        <w:jc w:val="center"/>
        <w:rPr>
          <w:szCs w:val="24"/>
          <w:lang w:val="es-AR" w:eastAsia="es-AR"/>
        </w:rPr>
      </w:pPr>
      <w:r w:rsidRPr="00612547">
        <w:rPr>
          <w:rFonts w:ascii="Tahoma" w:hAnsi="Tahoma" w:cs="Tahoma"/>
          <w:color w:val="000000"/>
          <w:sz w:val="22"/>
          <w:szCs w:val="22"/>
          <w:shd w:val="clear" w:color="auto" w:fill="FFFFFF"/>
          <w:lang w:val="es-AR" w:eastAsia="es-AR"/>
        </w:rPr>
        <w:t> LA LEGISLATURA DE LA CIUDAD AUTÓNOMA DE BUENOS AIRES</w:t>
      </w:r>
    </w:p>
    <w:p w:rsidR="00612547" w:rsidRPr="00612547" w:rsidRDefault="00612547" w:rsidP="00612547">
      <w:pPr>
        <w:jc w:val="center"/>
        <w:rPr>
          <w:szCs w:val="24"/>
          <w:lang w:val="es-AR" w:eastAsia="es-AR"/>
        </w:rPr>
      </w:pPr>
      <w:r w:rsidRPr="00612547">
        <w:rPr>
          <w:rFonts w:ascii="Arial" w:hAnsi="Arial" w:cs="Arial"/>
          <w:color w:val="222222"/>
          <w:szCs w:val="24"/>
          <w:shd w:val="clear" w:color="auto" w:fill="FFFFFF"/>
          <w:lang w:val="es-AR" w:eastAsia="es-AR"/>
        </w:rPr>
        <w:t>conmemora el bicentenario de la fundación de la</w:t>
      </w:r>
    </w:p>
    <w:p w:rsidR="00612547" w:rsidRPr="00612547" w:rsidRDefault="00612547" w:rsidP="00612547">
      <w:pPr>
        <w:jc w:val="center"/>
        <w:rPr>
          <w:szCs w:val="24"/>
          <w:lang w:val="es-AR" w:eastAsia="es-AR"/>
        </w:rPr>
      </w:pPr>
      <w:r w:rsidRPr="00612547">
        <w:rPr>
          <w:rFonts w:ascii="Tahoma" w:hAnsi="Tahoma" w:cs="Tahoma"/>
          <w:b/>
          <w:bCs/>
          <w:color w:val="000000"/>
          <w:sz w:val="22"/>
          <w:szCs w:val="22"/>
          <w:shd w:val="clear" w:color="auto" w:fill="FFFFFF"/>
          <w:lang w:val="es-AR" w:eastAsia="es-AR"/>
        </w:rPr>
        <w:t>Academia Nacional de Medicina de Buenos Aires</w:t>
      </w:r>
    </w:p>
    <w:p w:rsidR="00612547" w:rsidRPr="00612547" w:rsidRDefault="00612547" w:rsidP="00612547">
      <w:pPr>
        <w:jc w:val="center"/>
        <w:rPr>
          <w:szCs w:val="24"/>
          <w:lang w:val="es-AR" w:eastAsia="es-AR"/>
        </w:rPr>
      </w:pPr>
      <w:r w:rsidRPr="00612547">
        <w:rPr>
          <w:rFonts w:ascii="Tahoma" w:hAnsi="Tahoma" w:cs="Tahoma"/>
          <w:color w:val="000000"/>
          <w:sz w:val="22"/>
          <w:szCs w:val="22"/>
          <w:shd w:val="clear" w:color="auto" w:fill="FFFFFF"/>
          <w:lang w:val="es-AR" w:eastAsia="es-AR"/>
        </w:rPr>
        <w:t>y celebra sus aportes y contribuciones a la sociedad. </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Pr="00612547" w:rsidRDefault="00612547" w:rsidP="00612547">
      <w:pPr>
        <w:shd w:val="clear" w:color="auto" w:fill="FFFFFF"/>
        <w:rPr>
          <w:szCs w:val="24"/>
          <w:lang w:val="es-AR" w:eastAsia="es-AR"/>
        </w:rPr>
      </w:pPr>
      <w:r w:rsidRPr="00612547">
        <w:rPr>
          <w:b/>
          <w:bCs/>
          <w:color w:val="000000"/>
          <w:szCs w:val="24"/>
          <w:lang w:val="es-AR" w:eastAsia="es-AR"/>
        </w:rPr>
        <w:t xml:space="preserve">Artículo 3º.- </w:t>
      </w:r>
      <w:r w:rsidRPr="00612547">
        <w:rPr>
          <w:color w:val="000000"/>
          <w:szCs w:val="24"/>
          <w:lang w:val="es-AR" w:eastAsia="es-AR"/>
        </w:rPr>
        <w:t>La medida de la placa a colocar será de 70 cm. de ancho x 59 cm. de alto y 2cm de espesor.</w:t>
      </w:r>
      <w:r w:rsidRPr="00612547">
        <w:rPr>
          <w:b/>
          <w:bCs/>
          <w:color w:val="000000"/>
          <w:szCs w:val="24"/>
          <w:lang w:val="es-AR" w:eastAsia="es-AR"/>
        </w:rPr>
        <w:t xml:space="preserve"> </w:t>
      </w:r>
      <w:r w:rsidRPr="00612547">
        <w:rPr>
          <w:color w:val="000000"/>
          <w:szCs w:val="24"/>
          <w:lang w:val="es-AR" w:eastAsia="es-AR"/>
        </w:rPr>
        <w:t>Los gastos que demande la presente resolución serán imputados a la partida presupuestaria en vigor.</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Pr="00612547" w:rsidRDefault="00612547" w:rsidP="00612547">
      <w:pPr>
        <w:shd w:val="clear" w:color="auto" w:fill="FFFFFF"/>
        <w:rPr>
          <w:szCs w:val="24"/>
          <w:lang w:val="es-AR" w:eastAsia="es-AR"/>
        </w:rPr>
      </w:pPr>
      <w:r w:rsidRPr="00612547">
        <w:rPr>
          <w:b/>
          <w:bCs/>
          <w:color w:val="000000"/>
          <w:szCs w:val="24"/>
          <w:lang w:val="es-AR" w:eastAsia="es-AR"/>
        </w:rPr>
        <w:t xml:space="preserve">Artículo 4º.- </w:t>
      </w:r>
      <w:r w:rsidRPr="00612547">
        <w:rPr>
          <w:color w:val="000000"/>
          <w:szCs w:val="24"/>
          <w:lang w:val="es-AR" w:eastAsia="es-AR"/>
        </w:rPr>
        <w:t>Comuníquese, etc.</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Default="00612547">
      <w:pPr>
        <w:jc w:val="left"/>
        <w:rPr>
          <w:b/>
          <w:bCs/>
          <w:color w:val="000000"/>
          <w:szCs w:val="24"/>
          <w:lang w:val="es-AR" w:eastAsia="es-AR"/>
        </w:rPr>
      </w:pPr>
      <w:r>
        <w:rPr>
          <w:b/>
          <w:bCs/>
          <w:color w:val="000000"/>
          <w:szCs w:val="24"/>
          <w:lang w:val="es-AR" w:eastAsia="es-AR"/>
        </w:rPr>
        <w:br w:type="page"/>
      </w:r>
    </w:p>
    <w:p w:rsidR="00612547" w:rsidRPr="00612547" w:rsidRDefault="00612547" w:rsidP="00612547">
      <w:pPr>
        <w:jc w:val="center"/>
        <w:rPr>
          <w:szCs w:val="24"/>
          <w:lang w:val="es-AR" w:eastAsia="es-AR"/>
        </w:rPr>
      </w:pPr>
      <w:r w:rsidRPr="00612547">
        <w:rPr>
          <w:b/>
          <w:bCs/>
          <w:color w:val="000000"/>
          <w:szCs w:val="24"/>
          <w:lang w:val="es-AR" w:eastAsia="es-AR"/>
        </w:rPr>
        <w:lastRenderedPageBreak/>
        <w:t>FUNDAMENTOS</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Pr="00612547" w:rsidRDefault="00612547" w:rsidP="00612547">
      <w:pPr>
        <w:shd w:val="clear" w:color="auto" w:fill="FFFFFF"/>
        <w:rPr>
          <w:szCs w:val="24"/>
          <w:lang w:val="es-AR" w:eastAsia="es-AR"/>
        </w:rPr>
      </w:pPr>
      <w:r w:rsidRPr="00612547">
        <w:rPr>
          <w:color w:val="000000"/>
          <w:szCs w:val="24"/>
          <w:lang w:val="es-AR" w:eastAsia="es-AR"/>
        </w:rPr>
        <w:t> </w:t>
      </w:r>
    </w:p>
    <w:p w:rsidR="00612547" w:rsidRPr="00612547" w:rsidRDefault="00612547" w:rsidP="00612547">
      <w:pPr>
        <w:rPr>
          <w:szCs w:val="24"/>
          <w:lang w:val="es-AR" w:eastAsia="es-AR"/>
        </w:rPr>
      </w:pPr>
      <w:r w:rsidRPr="00612547">
        <w:rPr>
          <w:color w:val="000000"/>
          <w:szCs w:val="24"/>
          <w:lang w:val="es-AR" w:eastAsia="es-AR"/>
        </w:rPr>
        <w:t>Señor Presidente:</w:t>
      </w:r>
    </w:p>
    <w:p w:rsidR="00612547" w:rsidRPr="00612547" w:rsidRDefault="00612547" w:rsidP="00612547">
      <w:pPr>
        <w:jc w:val="left"/>
        <w:rPr>
          <w:szCs w:val="24"/>
          <w:lang w:val="es-AR" w:eastAsia="es-AR"/>
        </w:rPr>
      </w:pPr>
    </w:p>
    <w:p w:rsidR="00612547" w:rsidRPr="00612547" w:rsidRDefault="00612547" w:rsidP="00612547">
      <w:pPr>
        <w:rPr>
          <w:szCs w:val="24"/>
          <w:lang w:val="es-AR" w:eastAsia="es-AR"/>
        </w:rPr>
      </w:pPr>
      <w:r w:rsidRPr="00612547">
        <w:rPr>
          <w:color w:val="000000"/>
          <w:szCs w:val="24"/>
          <w:lang w:val="es-AR" w:eastAsia="es-AR"/>
        </w:rPr>
        <w:tab/>
        <w:t>Los orígenes de la Academia Nacional de Medicina se remontan a los albores de la Patria. Creada por Bernardino Rivadavia en 1822, dos años después de la Academia de Medicina de París, es la más antigua de América.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Su historia se inicia a la par de la enseñanza universitaria en el país, y su larga trayectoria es el resultado del esfuerzo de quienes contribuyeron y contribuyen al progreso y dignidad del arte médico, de ahí su tratamiento de Honorable Academia Nacional de Medicina.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Tres Premios Nobel han prestigiado a la Academia Nacional de Medicina: los académicos titulares Bernardo A. Houssay (1887-1971), Luis F. Leloir (1906-1987) y el académico honorario César Milstein (1927-2002), han incorporado al acervo mundial el resultado de sus investigaciones, dando a la medicina aportes originales, fruto de sus inquietudes por la investigación.</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La Academia es una entidad civil sin fines de lucro, cuya autonomía permite trabajar e investigar en un medio exclusivamente científico, ajeno a vaivenes políticos, influencias gubernamentales e intereses personales.</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 xml:space="preserve">Está integrada por treinta y cinco académicos titulares </w:t>
      </w:r>
      <w:r w:rsidRPr="00612547">
        <w:rPr>
          <w:i/>
          <w:iCs/>
          <w:color w:val="000000"/>
          <w:szCs w:val="24"/>
          <w:lang w:val="es-AR" w:eastAsia="es-AR"/>
        </w:rPr>
        <w:t>ad honorem</w:t>
      </w:r>
      <w:r w:rsidRPr="00612547">
        <w:rPr>
          <w:color w:val="000000"/>
          <w:szCs w:val="24"/>
          <w:lang w:val="es-AR" w:eastAsia="es-AR"/>
        </w:rPr>
        <w:t xml:space="preserve"> que ocupan sitiales numerados y nominados y regida por un Consejo de Administración constituido por seis miembros. La integran, también, más de cien miembros honorarios y correspondientes nacionales y extranjeros.</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Los académicos titulares en el Plenario Académico discuten las decisiones y toman resoluciones para el ejercicio profesional y la salud pública.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Entre sus tantas actividades:</w:t>
      </w:r>
    </w:p>
    <w:p w:rsidR="00612547" w:rsidRPr="00612547" w:rsidRDefault="00612547" w:rsidP="00612547">
      <w:pPr>
        <w:jc w:val="left"/>
        <w:rPr>
          <w:szCs w:val="24"/>
          <w:lang w:val="es-AR" w:eastAsia="es-AR"/>
        </w:rPr>
      </w:pPr>
    </w:p>
    <w:p w:rsidR="00612547" w:rsidRPr="00612547" w:rsidRDefault="00612547" w:rsidP="00612547">
      <w:pPr>
        <w:ind w:left="706" w:hanging="1"/>
        <w:rPr>
          <w:szCs w:val="24"/>
          <w:lang w:val="es-AR" w:eastAsia="es-AR"/>
        </w:rPr>
      </w:pPr>
      <w:r w:rsidRPr="00612547">
        <w:rPr>
          <w:color w:val="000000"/>
          <w:szCs w:val="24"/>
          <w:lang w:val="es-AR" w:eastAsia="es-AR"/>
        </w:rPr>
        <w:t>• Cuenta con tres institutos (Hematología, Epidemiología y Medicina Experimental - este último de doble dependencia CONICET/ANM-) en los que trabajan más de 200 profesionales y técnicos.</w:t>
      </w:r>
    </w:p>
    <w:p w:rsidR="00612547" w:rsidRPr="00612547" w:rsidRDefault="00612547" w:rsidP="00612547">
      <w:pPr>
        <w:ind w:left="706" w:hanging="1"/>
        <w:rPr>
          <w:szCs w:val="24"/>
          <w:lang w:val="es-AR" w:eastAsia="es-AR"/>
        </w:rPr>
      </w:pPr>
      <w:r w:rsidRPr="00612547">
        <w:rPr>
          <w:color w:val="000000"/>
          <w:szCs w:val="24"/>
          <w:lang w:val="es-AR" w:eastAsia="es-AR"/>
        </w:rPr>
        <w:t>• Fomenta la investigación e incentiva a los jóvenes con premios, becas y subsidios.</w:t>
      </w:r>
    </w:p>
    <w:p w:rsidR="00612547" w:rsidRPr="00612547" w:rsidRDefault="00612547" w:rsidP="00612547">
      <w:pPr>
        <w:ind w:left="706" w:hanging="1"/>
        <w:rPr>
          <w:szCs w:val="24"/>
          <w:lang w:val="es-AR" w:eastAsia="es-AR"/>
        </w:rPr>
      </w:pPr>
      <w:r w:rsidRPr="00612547">
        <w:rPr>
          <w:color w:val="000000"/>
          <w:szCs w:val="24"/>
          <w:lang w:val="es-AR" w:eastAsia="es-AR"/>
        </w:rPr>
        <w:t>• Organiza reuniones científicas nacionales e internacionales y se dictan conferencias sobre los más variados aspectos de la salud y la enfermedad.</w:t>
      </w:r>
    </w:p>
    <w:p w:rsidR="00612547" w:rsidRPr="00612547" w:rsidRDefault="00612547" w:rsidP="00612547">
      <w:pPr>
        <w:ind w:left="706" w:hanging="1"/>
        <w:rPr>
          <w:szCs w:val="24"/>
          <w:lang w:val="es-AR" w:eastAsia="es-AR"/>
        </w:rPr>
      </w:pPr>
      <w:r w:rsidRPr="00612547">
        <w:rPr>
          <w:color w:val="000000"/>
          <w:szCs w:val="24"/>
          <w:lang w:val="es-AR" w:eastAsia="es-AR"/>
        </w:rPr>
        <w:t>• Es órgano de consulta de los tres poderes del Estado.</w:t>
      </w:r>
    </w:p>
    <w:p w:rsidR="00612547" w:rsidRPr="00612547" w:rsidRDefault="00612547" w:rsidP="00612547">
      <w:pPr>
        <w:ind w:left="706" w:hanging="1"/>
        <w:rPr>
          <w:szCs w:val="24"/>
          <w:lang w:val="es-AR" w:eastAsia="es-AR"/>
        </w:rPr>
      </w:pPr>
      <w:r w:rsidRPr="00612547">
        <w:rPr>
          <w:color w:val="000000"/>
          <w:szCs w:val="24"/>
          <w:lang w:val="es-AR" w:eastAsia="es-AR"/>
        </w:rPr>
        <w:t>• Fomenta el culto de la dignidad y la ética en el ejercicio profesional.</w:t>
      </w:r>
    </w:p>
    <w:p w:rsidR="00612547" w:rsidRPr="00612547" w:rsidRDefault="00612547" w:rsidP="00612547">
      <w:pPr>
        <w:ind w:left="706" w:hanging="1"/>
        <w:rPr>
          <w:szCs w:val="24"/>
          <w:lang w:val="es-AR" w:eastAsia="es-AR"/>
        </w:rPr>
      </w:pPr>
      <w:r w:rsidRPr="00612547">
        <w:rPr>
          <w:color w:val="000000"/>
          <w:szCs w:val="24"/>
          <w:lang w:val="es-AR" w:eastAsia="es-AR"/>
        </w:rPr>
        <w:t>• Dedica atención a los problemas relacionados con la salud pública.</w:t>
      </w:r>
    </w:p>
    <w:p w:rsidR="00612547" w:rsidRPr="00612547" w:rsidRDefault="00612547" w:rsidP="00612547">
      <w:pPr>
        <w:ind w:left="706" w:hanging="1"/>
        <w:rPr>
          <w:szCs w:val="24"/>
          <w:lang w:val="es-AR" w:eastAsia="es-AR"/>
        </w:rPr>
      </w:pPr>
      <w:r w:rsidRPr="00612547">
        <w:rPr>
          <w:color w:val="000000"/>
          <w:szCs w:val="24"/>
          <w:lang w:val="es-AR" w:eastAsia="es-AR"/>
        </w:rPr>
        <w:t>• Mantiene relaciones con instituciones nacionales y extranjeras vinculadas con la ciencia médica.</w:t>
      </w:r>
    </w:p>
    <w:p w:rsidR="00612547" w:rsidRPr="00612547" w:rsidRDefault="00612547" w:rsidP="00612547">
      <w:pPr>
        <w:ind w:left="706" w:hanging="1"/>
        <w:rPr>
          <w:szCs w:val="24"/>
          <w:lang w:val="es-AR" w:eastAsia="es-AR"/>
        </w:rPr>
      </w:pPr>
      <w:r w:rsidRPr="00612547">
        <w:rPr>
          <w:color w:val="000000"/>
          <w:szCs w:val="24"/>
          <w:lang w:val="es-AR" w:eastAsia="es-AR"/>
        </w:rPr>
        <w:t>• Convoca a las entidades científicas involucradas en el estudio y tratamiento de enfermedades oncológicas para aunar criterios y redactar consensos.</w:t>
      </w:r>
    </w:p>
    <w:p w:rsidR="00612547" w:rsidRPr="00612547" w:rsidRDefault="00612547" w:rsidP="00612547">
      <w:pPr>
        <w:ind w:firstLine="708"/>
        <w:rPr>
          <w:szCs w:val="24"/>
          <w:lang w:val="es-AR" w:eastAsia="es-AR"/>
        </w:rPr>
      </w:pPr>
      <w:r w:rsidRPr="00612547">
        <w:rPr>
          <w:color w:val="000000"/>
          <w:szCs w:val="24"/>
          <w:lang w:val="es-AR" w:eastAsia="es-AR"/>
        </w:rPr>
        <w:t>• Expresa opinión pública sobre asuntos de interés trascendente.</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El Instituto de Investigaciones Hematológicas "Mariano R. Castex" (IIHEMA) fue creado por iniciativa del entonces Presidente de la Academia, Dr. Mariano R. Castex en el año 1956. Su primer director fue el Dr. Alfredo Pavlovsky, Académico de número. Al fallecer el Dr. Mariano Castex, el Instituto tomó su nombre.</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lastRenderedPageBreak/>
        <w:t>Desde entonces ha desarrollado una importante labor de Investigación Clínica e Investigación Básica en el campo de la Hematología, Oncología e Inmunología.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Desde su creación, el IIHEMA ha realizado valiosas contribuciones a estas disciplinas y cuenta con profesionales altamente calificados cuyos objetivos fundamentales son: docencia, investigación y asistencia, por lo que es líder nacional en prestaciones médicas de alta complejidad en hematología.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El lIHEMA es, dentro del ámbito público, la única Institución que brinda apoyo a los hospitales nacionales, provinciales y municipales para el estudio y seguimiento de terapéuticas de alta complejidad en pacientes hematológicos, oncohematológicos, con hemofilia y con trastornos de la hemostasia.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El Instituto de Medicina Experimental (IMEX) fue creado en el año 2010 fruto de una iniciativa conjunta del CONICET y la Academia Nacional de Medicina para organizar la actividad de 120 investigadores y becarios del CONICET que se desempeñaban en el ámbito de la Academia Nacional de Medicina.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Es un instituto dedicado a la investigación básica sobre la salud humana. Mediante una aplicación sistemática del método científico, sus investigadores procuran responder interrogantes que permitan conocer la etiología y evolución de diversas patologías y desarrollar nuevos métodos diagnósticos y estrategias terapéuticas. Todas las líneas de trabajo conducidas en el IMEX tienen por objetivo aportar conocimientos que directa o indirectamente contribuyan a mejorar la calidad de vida de las personas. Con esta misión, los miembros de este instituto focalizan sus investigaciones en áreas como la hematología, inmunología, hemostasia y trombosis, genética, oncología y virología. Las tareas de investigación, docencia, desarrollo e innovación involucran 16 laboratorios liderados por investigadores del CONICET dedicados al estudio.</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EL Instituto de Investigaciones Epidemiológicas (IlE) fue creado en 1980 como Centro de Investigaciones Epidemiológicas, en el año 2006 cambió su categoría a Instituto de Investigaciones. Su objetivo es contribuir con el conocimiento científico en la toma de decisiones en las intervenciones médicas y sanitarias basadas en la evidencia.</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Como unidad de investigación realiza y colabora en el diseño y desarrollo de estudios epidemiológicos de interés nacional, tanto por sí mismo como en colaboración con otras entidades académicas de distintos ámbitos.</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Como unidad de capacitación y docencia participa activamente en todo tipo de actividad que intente promover, aplicar o evaluar el método epidemiológico. Además, brinda asesoramiento especializado para la resolución de problemas que pueden afectar la salud de la población a Instituciones públicas y privadas.</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La Academia Nacional de Medicina de Buenos Aires cuenta con una Biblioteca especializada que brinda servicios desde su inicio en el año 1938, con la donación de 11000 volúmenes que pertenecían a los Dres. Marcelino y Rafael Herrera Vegas. En el actual edificio fue inaugurada en abril de 1944. Es de carácter público y tiene como tarea prioritaria la búsqueda de información actualizada a través de los nuevos medios disponibles que ofrecen los avances tecnológicos en el área de la Medicina y Ciencias afines, satisfaciendo las necesidades de información de investigadores y profesionales.</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Entre las numerosas donaciones que incrementaron el acervo bibliográfico se destaca la colección de libros y publicaciones pertenecientes al Dr. Pedro N. Arata, volúmenes especializados en química, medicina, tesis y obras de carácter histórico.</w:t>
      </w:r>
    </w:p>
    <w:p w:rsidR="00612547" w:rsidRPr="00612547" w:rsidRDefault="00612547" w:rsidP="00612547">
      <w:pPr>
        <w:ind w:firstLine="708"/>
        <w:rPr>
          <w:szCs w:val="24"/>
          <w:lang w:val="es-AR" w:eastAsia="es-AR"/>
        </w:rPr>
      </w:pPr>
      <w:r w:rsidRPr="00612547">
        <w:rPr>
          <w:color w:val="000000"/>
          <w:szCs w:val="24"/>
          <w:lang w:val="es-AR" w:eastAsia="es-AR"/>
        </w:rPr>
        <w:t>También existen primeras ediciones en su idioma original, en su mayoría alemán o francés, y pertenecientes a los siglos XVI al XX.</w:t>
      </w:r>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 xml:space="preserve">De las obras nacionales, se destacan las tesis de doctorado de los premios Nobel argentinos, así como también sus primeros trabajos, obras célebres y sus biografías. Los catálogos de libros, publicaciones periódicas impresas, las Bases de datos bibliográficas informadas por los registros de: Boletín de la Academia, Libros y Premios y las Bases de datos internacionales Medline y LILACS (Literatura Latinoamericana en Ciencias de la Salud) se encuentran disponibles para su consulta en la página web: </w:t>
      </w:r>
      <w:hyperlink r:id="rId7" w:history="1">
        <w:r w:rsidRPr="00612547">
          <w:rPr>
            <w:color w:val="0000FF"/>
            <w:szCs w:val="24"/>
            <w:u w:val="single"/>
            <w:lang w:val="es-AR" w:eastAsia="es-AR"/>
          </w:rPr>
          <w:t>www.anm.edu.ar/biblioteca/</w:t>
        </w:r>
      </w:hyperlink>
    </w:p>
    <w:p w:rsidR="00612547" w:rsidRPr="00612547" w:rsidRDefault="00612547" w:rsidP="00612547">
      <w:pPr>
        <w:jc w:val="left"/>
        <w:rPr>
          <w:szCs w:val="24"/>
          <w:lang w:val="es-AR" w:eastAsia="es-AR"/>
        </w:rPr>
      </w:pPr>
    </w:p>
    <w:p w:rsidR="00612547" w:rsidRPr="00612547" w:rsidRDefault="00612547" w:rsidP="00612547">
      <w:pPr>
        <w:ind w:firstLine="708"/>
        <w:rPr>
          <w:szCs w:val="24"/>
          <w:lang w:val="es-AR" w:eastAsia="es-AR"/>
        </w:rPr>
      </w:pPr>
      <w:r w:rsidRPr="00612547">
        <w:rPr>
          <w:color w:val="000000"/>
          <w:szCs w:val="24"/>
          <w:lang w:val="es-AR" w:eastAsia="es-AR"/>
        </w:rPr>
        <w:t>Por todo lo expuesto, Sr. Presidente, solicitamos al cuerpo legislativo la aprobación de este proyecto de resolución.</w:t>
      </w:r>
    </w:p>
    <w:p w:rsidR="005E3C49" w:rsidRPr="00E5658D" w:rsidRDefault="005E3C49" w:rsidP="00E5658D"/>
    <w:sectPr w:rsidR="005E3C49" w:rsidRPr="00E5658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3C9" w:rsidRDefault="008A33C9">
      <w:r>
        <w:separator/>
      </w:r>
    </w:p>
  </w:endnote>
  <w:endnote w:type="continuationSeparator" w:id="1">
    <w:p w:rsidR="008A33C9" w:rsidRDefault="008A33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9" w:rsidRDefault="0009090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90909" w:rsidRPr="00090909">
        <w:rPr>
          <w:noProof/>
          <w:color w:val="333333"/>
          <w:sz w:val="20"/>
        </w:rPr>
        <w:t>07/03/2022 12:05:00</w:t>
      </w:r>
    </w:fldSimple>
    <w:r w:rsidRPr="001C19C4">
      <w:rPr>
        <w:color w:val="333333"/>
        <w:sz w:val="20"/>
      </w:rPr>
      <w:t xml:space="preserve">  -  Cantidad de caracteres: </w:t>
    </w:r>
    <w:fldSimple w:instr=" NUMCHARS  \* MERGEFORMAT ">
      <w:r w:rsidR="00090909" w:rsidRPr="00090909">
        <w:rPr>
          <w:noProof/>
          <w:color w:val="333333"/>
          <w:sz w:val="20"/>
        </w:rPr>
        <w:t>6817</w:t>
      </w:r>
    </w:fldSimple>
    <w:r w:rsidRPr="001C19C4">
      <w:rPr>
        <w:color w:val="333333"/>
        <w:sz w:val="20"/>
      </w:rPr>
      <w:t xml:space="preserve"> - Cantidad de palabras: </w:t>
    </w:r>
    <w:fldSimple w:instr=" NUMWORDS  \* MERGEFORMAT ">
      <w:r w:rsidR="00090909" w:rsidRPr="00090909">
        <w:rPr>
          <w:noProof/>
          <w:color w:val="333333"/>
          <w:sz w:val="20"/>
        </w:rPr>
        <w:t>1205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20658" w:rsidRPr="001C19C4">
      <w:rPr>
        <w:rStyle w:val="Nmerodepgina"/>
        <w:color w:val="333333"/>
      </w:rPr>
      <w:fldChar w:fldCharType="begin"/>
    </w:r>
    <w:r w:rsidRPr="001C19C4">
      <w:rPr>
        <w:rStyle w:val="Nmerodepgina"/>
        <w:color w:val="333333"/>
      </w:rPr>
      <w:instrText xml:space="preserve"> PAGE </w:instrText>
    </w:r>
    <w:r w:rsidR="00D20658" w:rsidRPr="001C19C4">
      <w:rPr>
        <w:rStyle w:val="Nmerodepgina"/>
        <w:color w:val="333333"/>
      </w:rPr>
      <w:fldChar w:fldCharType="separate"/>
    </w:r>
    <w:r w:rsidR="00090909">
      <w:rPr>
        <w:rStyle w:val="Nmerodepgina"/>
        <w:noProof/>
        <w:color w:val="333333"/>
      </w:rPr>
      <w:t>1</w:t>
    </w:r>
    <w:r w:rsidR="00D20658" w:rsidRPr="001C19C4">
      <w:rPr>
        <w:rStyle w:val="Nmerodepgina"/>
        <w:color w:val="333333"/>
      </w:rPr>
      <w:fldChar w:fldCharType="end"/>
    </w:r>
    <w:r w:rsidRPr="001C19C4">
      <w:rPr>
        <w:rStyle w:val="Nmerodepgina"/>
        <w:color w:val="333333"/>
      </w:rPr>
      <w:t>/</w:t>
    </w:r>
    <w:fldSimple w:instr=" NUMPAGES  \* MERGEFORMAT ">
      <w:r w:rsidR="00090909" w:rsidRPr="00090909">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9" w:rsidRDefault="0009090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3C9" w:rsidRDefault="008A33C9">
      <w:r>
        <w:separator/>
      </w:r>
    </w:p>
  </w:footnote>
  <w:footnote w:type="continuationSeparator" w:id="1">
    <w:p w:rsidR="008A33C9" w:rsidRDefault="008A33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9" w:rsidRDefault="0009090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09" w:rsidRDefault="00090909">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B347C0"/>
    <w:rsid w:val="00026430"/>
    <w:rsid w:val="00030DF5"/>
    <w:rsid w:val="0003615C"/>
    <w:rsid w:val="000376AB"/>
    <w:rsid w:val="00043882"/>
    <w:rsid w:val="00062864"/>
    <w:rsid w:val="00067370"/>
    <w:rsid w:val="000713D7"/>
    <w:rsid w:val="00071CFB"/>
    <w:rsid w:val="00077DAC"/>
    <w:rsid w:val="00080837"/>
    <w:rsid w:val="00081FFF"/>
    <w:rsid w:val="00085D07"/>
    <w:rsid w:val="0009090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379F"/>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547"/>
    <w:rsid w:val="00616F70"/>
    <w:rsid w:val="00622DE5"/>
    <w:rsid w:val="00636BE0"/>
    <w:rsid w:val="0064363E"/>
    <w:rsid w:val="006811D6"/>
    <w:rsid w:val="00690392"/>
    <w:rsid w:val="00697F98"/>
    <w:rsid w:val="006C1057"/>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33C9"/>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7C0"/>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0658"/>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12547"/>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12547"/>
  </w:style>
  <w:style w:type="character" w:styleId="Hipervnculo">
    <w:name w:val="Hyperlink"/>
    <w:basedOn w:val="Fuentedeprrafopredeter"/>
    <w:uiPriority w:val="99"/>
    <w:semiHidden/>
    <w:unhideWhenUsed/>
    <w:rsid w:val="00612547"/>
    <w:rPr>
      <w:color w:val="0000FF"/>
      <w:u w:val="single"/>
    </w:rPr>
  </w:style>
</w:styles>
</file>

<file path=word/webSettings.xml><?xml version="1.0" encoding="utf-8"?>
<w:webSettings xmlns:r="http://schemas.openxmlformats.org/officeDocument/2006/relationships" xmlns:w="http://schemas.openxmlformats.org/wordprocessingml/2006/main">
  <w:divs>
    <w:div w:id="131224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nm.edu.ar/bibliotec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TotalTime>
  <Pages>4</Pages>
  <Words>1205</Words>
  <Characters>6817</Characters>
  <Application>Microsoft Office Word</Application>
  <DocSecurity>0</DocSecurity>
  <Lines>145</Lines>
  <Paragraphs>44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2022-03-07T15:03:00Z</dcterms:created>
  <dcterms:modified xsi:type="dcterms:W3CDTF">2022-03-07T15:06:00Z</dcterms:modified>
</cp:coreProperties>
</file>