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BE9" w:rsidRPr="002C25D4" w:rsidRDefault="001E0BE9" w:rsidP="001E0BE9">
      <w:pPr>
        <w:spacing w:line="360" w:lineRule="auto"/>
        <w:jc w:val="center"/>
        <w:rPr>
          <w:b/>
          <w:szCs w:val="24"/>
          <w:lang w:val="es-MX"/>
        </w:rPr>
      </w:pPr>
      <w:r w:rsidRPr="002C25D4">
        <w:rPr>
          <w:b/>
          <w:szCs w:val="24"/>
          <w:lang w:val="es-MX"/>
        </w:rPr>
        <w:t>PROYECTO DE DECLARACIÓN</w:t>
      </w:r>
    </w:p>
    <w:p w:rsidR="001E0BE9" w:rsidRPr="005C4DB0" w:rsidRDefault="001E0BE9" w:rsidP="001E0BE9">
      <w:pPr>
        <w:spacing w:line="360" w:lineRule="auto"/>
        <w:rPr>
          <w:rFonts w:ascii="Arial" w:hAnsi="Arial" w:cs="Arial"/>
          <w:b/>
          <w:sz w:val="22"/>
          <w:szCs w:val="22"/>
          <w:lang w:val="es-MX"/>
        </w:rPr>
      </w:pPr>
    </w:p>
    <w:p w:rsidR="004E3D60" w:rsidRDefault="001E0BE9" w:rsidP="004E3D60">
      <w:pPr>
        <w:spacing w:line="360" w:lineRule="auto"/>
        <w:rPr>
          <w:bCs/>
          <w:szCs w:val="24"/>
        </w:rPr>
      </w:pPr>
      <w:r w:rsidRPr="00533434">
        <w:rPr>
          <w:szCs w:val="24"/>
        </w:rPr>
        <w:t>La Legislatura de la Ciudad Autónoma de Buenos Aires expresa su repudio</w:t>
      </w:r>
      <w:r>
        <w:rPr>
          <w:szCs w:val="24"/>
        </w:rPr>
        <w:t xml:space="preserve"> por la decisi</w:t>
      </w:r>
      <w:r w:rsidR="004E3D60">
        <w:rPr>
          <w:szCs w:val="24"/>
        </w:rPr>
        <w:t xml:space="preserve">ón </w:t>
      </w:r>
      <w:r w:rsidR="00641F2E">
        <w:rPr>
          <w:szCs w:val="24"/>
        </w:rPr>
        <w:t>llevada a cabo</w:t>
      </w:r>
      <w:r w:rsidR="00026C10">
        <w:rPr>
          <w:szCs w:val="24"/>
        </w:rPr>
        <w:t xml:space="preserve"> unilateralmente</w:t>
      </w:r>
      <w:r w:rsidR="00641F2E">
        <w:rPr>
          <w:szCs w:val="24"/>
        </w:rPr>
        <w:t xml:space="preserve"> por </w:t>
      </w:r>
      <w:r w:rsidR="00026C10">
        <w:rPr>
          <w:szCs w:val="24"/>
        </w:rPr>
        <w:t xml:space="preserve">el Gobierno Nacional </w:t>
      </w:r>
      <w:r w:rsidR="00641F2E">
        <w:rPr>
          <w:szCs w:val="24"/>
        </w:rPr>
        <w:t xml:space="preserve">al </w:t>
      </w:r>
      <w:r>
        <w:rPr>
          <w:szCs w:val="24"/>
        </w:rPr>
        <w:t>modificar el criterio</w:t>
      </w:r>
      <w:r w:rsidR="004E3D60">
        <w:rPr>
          <w:szCs w:val="24"/>
        </w:rPr>
        <w:t xml:space="preserve"> de la </w:t>
      </w:r>
      <w:r w:rsidRPr="001E0BE9">
        <w:rPr>
          <w:szCs w:val="24"/>
        </w:rPr>
        <w:t>valuación fiscal</w:t>
      </w:r>
      <w:r w:rsidR="00641F2E">
        <w:rPr>
          <w:szCs w:val="24"/>
        </w:rPr>
        <w:t xml:space="preserve"> actual</w:t>
      </w:r>
      <w:r w:rsidRPr="001E0BE9">
        <w:rPr>
          <w:szCs w:val="24"/>
        </w:rPr>
        <w:t xml:space="preserve"> que </w:t>
      </w:r>
      <w:r w:rsidR="004E3D60">
        <w:rPr>
          <w:szCs w:val="24"/>
        </w:rPr>
        <w:t xml:space="preserve">determina </w:t>
      </w:r>
      <w:r w:rsidRPr="001E0BE9">
        <w:rPr>
          <w:szCs w:val="24"/>
        </w:rPr>
        <w:t>el tr</w:t>
      </w:r>
      <w:r>
        <w:rPr>
          <w:szCs w:val="24"/>
        </w:rPr>
        <w:t>ibuto</w:t>
      </w:r>
      <w:r w:rsidR="00641F2E">
        <w:rPr>
          <w:szCs w:val="24"/>
        </w:rPr>
        <w:t xml:space="preserve"> </w:t>
      </w:r>
      <w:r w:rsidR="00641F2E">
        <w:rPr>
          <w:bCs/>
          <w:szCs w:val="24"/>
        </w:rPr>
        <w:t xml:space="preserve">del </w:t>
      </w:r>
      <w:r w:rsidR="004E3D60" w:rsidRPr="001E0BE9">
        <w:rPr>
          <w:bCs/>
          <w:szCs w:val="24"/>
        </w:rPr>
        <w:t>impu</w:t>
      </w:r>
      <w:r w:rsidR="004E3D60">
        <w:rPr>
          <w:bCs/>
          <w:szCs w:val="24"/>
        </w:rPr>
        <w:t xml:space="preserve">esto a los Bienes Personales de </w:t>
      </w:r>
      <w:r w:rsidRPr="001E0BE9">
        <w:rPr>
          <w:bCs/>
          <w:szCs w:val="24"/>
        </w:rPr>
        <w:t xml:space="preserve">los inmuebles ubicados en la </w:t>
      </w:r>
      <w:r w:rsidR="004E3D60" w:rsidRPr="001E0BE9">
        <w:rPr>
          <w:bCs/>
          <w:szCs w:val="24"/>
        </w:rPr>
        <w:t>Ciudad de Buenos Aires</w:t>
      </w:r>
      <w:r w:rsidR="004E3D60">
        <w:rPr>
          <w:bCs/>
          <w:szCs w:val="24"/>
        </w:rPr>
        <w:t xml:space="preserve">, </w:t>
      </w:r>
      <w:r w:rsidR="00641F2E">
        <w:rPr>
          <w:bCs/>
          <w:szCs w:val="24"/>
        </w:rPr>
        <w:t>multiplicando por cuatro dicho tributo.</w:t>
      </w:r>
    </w:p>
    <w:p w:rsidR="00641F2E" w:rsidRDefault="00641F2E" w:rsidP="004E3D60">
      <w:pPr>
        <w:spacing w:line="360" w:lineRule="auto"/>
        <w:rPr>
          <w:bCs/>
          <w:szCs w:val="24"/>
        </w:rPr>
      </w:pPr>
    </w:p>
    <w:p w:rsidR="00641F2E" w:rsidRPr="001E0BE9" w:rsidRDefault="00641F2E" w:rsidP="004E3D60">
      <w:pPr>
        <w:spacing w:line="360" w:lineRule="auto"/>
        <w:rPr>
          <w:szCs w:val="24"/>
        </w:rPr>
      </w:pPr>
      <w:r>
        <w:rPr>
          <w:bCs/>
          <w:szCs w:val="24"/>
        </w:rPr>
        <w:t xml:space="preserve">Esta medida se suma a las reiteradas acciones llevadas a cabo por el </w:t>
      </w:r>
      <w:r w:rsidR="00026C10">
        <w:rPr>
          <w:bCs/>
          <w:szCs w:val="24"/>
        </w:rPr>
        <w:t xml:space="preserve">Poder Ejecutivo </w:t>
      </w:r>
      <w:r>
        <w:rPr>
          <w:bCs/>
          <w:szCs w:val="24"/>
        </w:rPr>
        <w:t xml:space="preserve">Nacional en perjuicio </w:t>
      </w:r>
      <w:r w:rsidR="00C948E0">
        <w:rPr>
          <w:bCs/>
          <w:szCs w:val="24"/>
        </w:rPr>
        <w:t xml:space="preserve">de </w:t>
      </w:r>
      <w:r>
        <w:rPr>
          <w:bCs/>
          <w:szCs w:val="24"/>
        </w:rPr>
        <w:t>los vecinos</w:t>
      </w:r>
      <w:r w:rsidR="00026C10">
        <w:rPr>
          <w:bCs/>
          <w:szCs w:val="24"/>
        </w:rPr>
        <w:t xml:space="preserve"> </w:t>
      </w:r>
      <w:r w:rsidR="00C948E0">
        <w:rPr>
          <w:bCs/>
          <w:szCs w:val="24"/>
        </w:rPr>
        <w:t>de la Ciudad</w:t>
      </w:r>
      <w:r>
        <w:rPr>
          <w:bCs/>
          <w:szCs w:val="24"/>
        </w:rPr>
        <w:t xml:space="preserve">. </w:t>
      </w:r>
    </w:p>
    <w:p w:rsidR="001E0BE9" w:rsidRDefault="001E0BE9"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3A77C8" w:rsidRDefault="003A77C8" w:rsidP="001E0BE9">
      <w:pPr>
        <w:spacing w:line="360" w:lineRule="auto"/>
        <w:rPr>
          <w:szCs w:val="24"/>
        </w:rPr>
      </w:pPr>
    </w:p>
    <w:p w:rsidR="002C25D4" w:rsidRDefault="002C25D4" w:rsidP="002C25D4">
      <w:pPr>
        <w:spacing w:line="360" w:lineRule="auto"/>
        <w:rPr>
          <w:szCs w:val="24"/>
        </w:rPr>
      </w:pPr>
    </w:p>
    <w:p w:rsidR="003A77C8" w:rsidRDefault="003957FE" w:rsidP="002C25D4">
      <w:pPr>
        <w:spacing w:line="360" w:lineRule="auto"/>
        <w:jc w:val="center"/>
        <w:rPr>
          <w:szCs w:val="24"/>
        </w:rPr>
      </w:pPr>
      <w:r>
        <w:rPr>
          <w:szCs w:val="24"/>
        </w:rPr>
        <w:lastRenderedPageBreak/>
        <w:t>FUNDAMENTOS</w:t>
      </w:r>
    </w:p>
    <w:p w:rsidR="002C25D4" w:rsidRDefault="002C25D4" w:rsidP="002C25D4">
      <w:pPr>
        <w:spacing w:line="360" w:lineRule="auto"/>
        <w:jc w:val="center"/>
        <w:rPr>
          <w:szCs w:val="24"/>
        </w:rPr>
      </w:pPr>
    </w:p>
    <w:p w:rsidR="003957FE" w:rsidRDefault="003957FE" w:rsidP="003957FE">
      <w:pPr>
        <w:spacing w:line="360" w:lineRule="auto"/>
        <w:rPr>
          <w:szCs w:val="24"/>
        </w:rPr>
      </w:pPr>
      <w:r>
        <w:rPr>
          <w:szCs w:val="24"/>
        </w:rPr>
        <w:t>Sr. Presidente:</w:t>
      </w:r>
    </w:p>
    <w:p w:rsidR="003957FE" w:rsidRDefault="003957FE" w:rsidP="003957FE">
      <w:pPr>
        <w:spacing w:line="360" w:lineRule="auto"/>
        <w:rPr>
          <w:szCs w:val="24"/>
        </w:rPr>
      </w:pPr>
    </w:p>
    <w:p w:rsidR="00326B46" w:rsidRPr="00DF312E" w:rsidRDefault="003957FE" w:rsidP="003957FE">
      <w:pPr>
        <w:spacing w:line="360" w:lineRule="auto"/>
        <w:rPr>
          <w:szCs w:val="24"/>
        </w:rPr>
      </w:pPr>
      <w:r w:rsidRPr="00DF312E">
        <w:rPr>
          <w:szCs w:val="24"/>
        </w:rPr>
        <w:t xml:space="preserve">El presente proyecto tiene por objeto repudiar </w:t>
      </w:r>
      <w:r w:rsidR="00326B46" w:rsidRPr="00DF312E">
        <w:rPr>
          <w:szCs w:val="24"/>
        </w:rPr>
        <w:t>la medida tomada por la AFIP; ya que u</w:t>
      </w:r>
      <w:r w:rsidRPr="00DF312E">
        <w:rPr>
          <w:szCs w:val="24"/>
        </w:rPr>
        <w:t xml:space="preserve">na vez más el Gobierno Nacional </w:t>
      </w:r>
      <w:r w:rsidR="00326B46" w:rsidRPr="00DF312E">
        <w:rPr>
          <w:szCs w:val="24"/>
        </w:rPr>
        <w:t>decidió,</w:t>
      </w:r>
      <w:r w:rsidRPr="00DF312E">
        <w:rPr>
          <w:szCs w:val="24"/>
        </w:rPr>
        <w:t xml:space="preserve"> unilateral e intempestiva</w:t>
      </w:r>
      <w:r w:rsidR="00326B46" w:rsidRPr="00DF312E">
        <w:rPr>
          <w:szCs w:val="24"/>
        </w:rPr>
        <w:t>mente,</w:t>
      </w:r>
      <w:r w:rsidRPr="00DF312E">
        <w:rPr>
          <w:szCs w:val="24"/>
        </w:rPr>
        <w:t xml:space="preserve"> contra los vecinos de la Ciudad Aut</w:t>
      </w:r>
      <w:r w:rsidR="00326B46" w:rsidRPr="00DF312E">
        <w:rPr>
          <w:szCs w:val="24"/>
        </w:rPr>
        <w:t xml:space="preserve">ónoma de Buenos Aires </w:t>
      </w:r>
      <w:r w:rsidRPr="00DF312E">
        <w:rPr>
          <w:szCs w:val="24"/>
        </w:rPr>
        <w:t>establecer un incremento del monto a pagar en el impuesto a los Bienes Personales por los inmuebles ubicados en la Ciudad de Buenos Aires</w:t>
      </w:r>
      <w:r w:rsidR="00326B46" w:rsidRPr="00DF312E">
        <w:rPr>
          <w:szCs w:val="24"/>
        </w:rPr>
        <w:t>.</w:t>
      </w:r>
    </w:p>
    <w:p w:rsidR="00326B46" w:rsidRPr="00DF312E" w:rsidRDefault="00326B46" w:rsidP="003957FE">
      <w:pPr>
        <w:spacing w:line="360" w:lineRule="auto"/>
        <w:rPr>
          <w:szCs w:val="24"/>
        </w:rPr>
      </w:pPr>
    </w:p>
    <w:p w:rsidR="00DF14F3" w:rsidRDefault="00326B46" w:rsidP="00DF312E">
      <w:pPr>
        <w:spacing w:line="360" w:lineRule="auto"/>
        <w:rPr>
          <w:szCs w:val="24"/>
        </w:rPr>
      </w:pPr>
      <w:r w:rsidRPr="00DF312E">
        <w:rPr>
          <w:szCs w:val="24"/>
        </w:rPr>
        <w:t>La medida implicaría un aumento en la recaudación de Bienes Personales porque multiplica por cuatro el valor imponible. Además su alcance es retroactivo, toda vez que afecta el tributo correspondiente al año 2021.</w:t>
      </w:r>
      <w:r w:rsidR="00DF14F3">
        <w:rPr>
          <w:szCs w:val="24"/>
        </w:rPr>
        <w:t xml:space="preserve"> </w:t>
      </w:r>
      <w:r w:rsidRPr="00DF312E">
        <w:rPr>
          <w:szCs w:val="24"/>
        </w:rPr>
        <w:t xml:space="preserve">Este incremento </w:t>
      </w:r>
      <w:r w:rsidR="008A4A86">
        <w:rPr>
          <w:szCs w:val="24"/>
        </w:rPr>
        <w:t xml:space="preserve">afecta </w:t>
      </w:r>
      <w:r w:rsidRPr="00DF312E">
        <w:rPr>
          <w:szCs w:val="24"/>
        </w:rPr>
        <w:t xml:space="preserve">el patrimonio y la </w:t>
      </w:r>
      <w:r w:rsidR="003957FE" w:rsidRPr="00DF312E">
        <w:rPr>
          <w:szCs w:val="24"/>
        </w:rPr>
        <w:t xml:space="preserve">capacidad contributiva </w:t>
      </w:r>
      <w:r w:rsidRPr="00DF312E">
        <w:rPr>
          <w:szCs w:val="24"/>
        </w:rPr>
        <w:t>de los vecinos</w:t>
      </w:r>
      <w:r w:rsidR="008A4A86">
        <w:rPr>
          <w:szCs w:val="24"/>
        </w:rPr>
        <w:t>.</w:t>
      </w:r>
      <w:r w:rsidR="00DF312E" w:rsidRPr="00DF312E">
        <w:rPr>
          <w:szCs w:val="24"/>
        </w:rPr>
        <w:t xml:space="preserve"> </w:t>
      </w:r>
    </w:p>
    <w:p w:rsidR="008A4A86" w:rsidRDefault="008A4A86" w:rsidP="00DF312E">
      <w:pPr>
        <w:spacing w:line="360" w:lineRule="auto"/>
        <w:rPr>
          <w:szCs w:val="24"/>
        </w:rPr>
      </w:pPr>
    </w:p>
    <w:p w:rsidR="002C25D4" w:rsidRDefault="008A4A86" w:rsidP="00DF312E">
      <w:pPr>
        <w:spacing w:line="360" w:lineRule="auto"/>
        <w:rPr>
          <w:szCs w:val="24"/>
        </w:rPr>
      </w:pPr>
      <w:r>
        <w:rPr>
          <w:szCs w:val="24"/>
        </w:rPr>
        <w:t>Esto</w:t>
      </w:r>
      <w:r w:rsidR="00DF14F3">
        <w:rPr>
          <w:szCs w:val="24"/>
        </w:rPr>
        <w:t>,</w:t>
      </w:r>
      <w:r>
        <w:rPr>
          <w:szCs w:val="24"/>
        </w:rPr>
        <w:t xml:space="preserve"> a su vez</w:t>
      </w:r>
      <w:r w:rsidR="00DF14F3">
        <w:rPr>
          <w:szCs w:val="24"/>
        </w:rPr>
        <w:t>,</w:t>
      </w:r>
      <w:r>
        <w:rPr>
          <w:szCs w:val="24"/>
        </w:rPr>
        <w:t xml:space="preserve"> implica un avasallamiento a los Legisladores de la Ciudad Autónoma de Buenos Aires dado que un ente administrador pretende darle una interpretación diferente al espíritu de la norma sancionada bajo </w:t>
      </w:r>
      <w:r w:rsidR="00DF14F3">
        <w:rPr>
          <w:szCs w:val="24"/>
        </w:rPr>
        <w:t>su competencia</w:t>
      </w:r>
      <w:r>
        <w:rPr>
          <w:szCs w:val="24"/>
        </w:rPr>
        <w:t>.</w:t>
      </w:r>
      <w:r w:rsidR="00912F37">
        <w:rPr>
          <w:szCs w:val="24"/>
        </w:rPr>
        <w:t xml:space="preserve"> </w:t>
      </w:r>
    </w:p>
    <w:p w:rsidR="00912F37" w:rsidRDefault="002C25D4" w:rsidP="00DF312E">
      <w:pPr>
        <w:spacing w:line="360" w:lineRule="auto"/>
        <w:rPr>
          <w:szCs w:val="24"/>
        </w:rPr>
      </w:pPr>
      <w:r>
        <w:rPr>
          <w:szCs w:val="24"/>
        </w:rPr>
        <w:t>Los l</w:t>
      </w:r>
      <w:r w:rsidR="00912F37">
        <w:rPr>
          <w:szCs w:val="24"/>
        </w:rPr>
        <w:t>egisladores dejaron en claro la valuación de los inmuebles bajo los parámetros establecidos en el artículo 373 del Código Fiscal</w:t>
      </w:r>
      <w:r w:rsidR="00DF14F3">
        <w:rPr>
          <w:szCs w:val="24"/>
        </w:rPr>
        <w:t>,</w:t>
      </w:r>
      <w:r w:rsidR="00912F37">
        <w:rPr>
          <w:szCs w:val="24"/>
        </w:rPr>
        <w:t xml:space="preserve"> el cual establece: </w:t>
      </w:r>
    </w:p>
    <w:p w:rsidR="00912F37" w:rsidRPr="00912F37" w:rsidRDefault="00912F37" w:rsidP="00912F37">
      <w:pPr>
        <w:spacing w:line="360" w:lineRule="auto"/>
        <w:ind w:left="709" w:right="618" w:firstLine="707"/>
        <w:rPr>
          <w:i/>
          <w:szCs w:val="24"/>
        </w:rPr>
      </w:pPr>
      <w:r w:rsidRPr="00912F37">
        <w:rPr>
          <w:i/>
          <w:szCs w:val="24"/>
        </w:rPr>
        <w:t>“Establécese un avalúo para cada inmueble de la Ciudad Autónoma de Buenos Aires que reflejará las características del suelo, su uso, las edificaciones y otras estructuras, obras accesorias, instalaciones del bien, ubicación geográfica, disposición arquitectónica de los materiales utilizados, cercanía con centros comerciales y/o de esparcimiento o con espacios verdes, vías de acceso, siendo esta descripción meramente enunciativa.</w:t>
      </w:r>
    </w:p>
    <w:p w:rsidR="008A4A86" w:rsidRPr="002C25D4" w:rsidRDefault="00912F37" w:rsidP="002C25D4">
      <w:pPr>
        <w:spacing w:line="360" w:lineRule="auto"/>
        <w:ind w:left="709" w:right="618"/>
        <w:rPr>
          <w:b/>
          <w:i/>
          <w:szCs w:val="24"/>
        </w:rPr>
      </w:pPr>
      <w:r w:rsidRPr="00912F37">
        <w:rPr>
          <w:i/>
          <w:szCs w:val="24"/>
        </w:rPr>
        <w:tab/>
      </w:r>
      <w:r w:rsidRPr="00912F37">
        <w:rPr>
          <w:b/>
          <w:i/>
          <w:szCs w:val="24"/>
        </w:rPr>
        <w:t xml:space="preserve">A los fines de establecer la Valuación Fiscal Homogénea (VFH) se considera una proporción del valor económico por metro cuadrado (m²) de los bienes inmuebles en el mercado comercial. El cálculo del mismo se basa en la valuación del terreno según su ubicación geográfica (barrio, subzona barrial), Distrito de zonificación o edificabilidad del Código Urbanístico; y del edificio según el valor real de edificación por m² del destino constructivo correspondiente, afectado por la depreciación. En los casos de inmuebles afectados al Régimen de Propiedad Horizontal se valúa la totalidad del mismo de acuerdo a los </w:t>
      </w:r>
      <w:r w:rsidRPr="00912F37">
        <w:rPr>
          <w:b/>
          <w:i/>
          <w:szCs w:val="24"/>
        </w:rPr>
        <w:lastRenderedPageBreak/>
        <w:t>destinos constructivos que posea, aplicando luego el porcentual fiscal para determinar el avalúo fiscal homogéneo de cada unidad.</w:t>
      </w:r>
      <w:r w:rsidR="002C25D4">
        <w:rPr>
          <w:b/>
          <w:i/>
          <w:szCs w:val="24"/>
        </w:rPr>
        <w:t xml:space="preserve"> </w:t>
      </w:r>
      <w:r w:rsidR="002C25D4">
        <w:rPr>
          <w:i/>
          <w:szCs w:val="24"/>
        </w:rPr>
        <w:t>(…).</w:t>
      </w:r>
      <w:r>
        <w:rPr>
          <w:i/>
          <w:szCs w:val="24"/>
        </w:rPr>
        <w:t>”</w:t>
      </w:r>
      <w:r w:rsidR="008A4A86" w:rsidRPr="00912F37">
        <w:rPr>
          <w:i/>
          <w:szCs w:val="24"/>
        </w:rPr>
        <w:t xml:space="preserve"> </w:t>
      </w:r>
    </w:p>
    <w:p w:rsidR="00DF312E" w:rsidRPr="00912F37" w:rsidRDefault="00DF312E" w:rsidP="00DF312E">
      <w:pPr>
        <w:spacing w:line="360" w:lineRule="auto"/>
        <w:rPr>
          <w:i/>
          <w:szCs w:val="24"/>
        </w:rPr>
      </w:pPr>
    </w:p>
    <w:p w:rsidR="00912F37" w:rsidRDefault="002C25D4" w:rsidP="002C25D4">
      <w:pPr>
        <w:spacing w:line="360" w:lineRule="auto"/>
        <w:rPr>
          <w:szCs w:val="24"/>
        </w:rPr>
      </w:pPr>
      <w:r>
        <w:rPr>
          <w:szCs w:val="24"/>
        </w:rPr>
        <w:t xml:space="preserve">Es así que teniendo en visto lo establecido en el artículo </w:t>
      </w:r>
      <w:r w:rsidRPr="002C25D4">
        <w:rPr>
          <w:i/>
          <w:szCs w:val="24"/>
        </w:rPr>
        <w:t>“ut supra”</w:t>
      </w:r>
      <w:r>
        <w:rPr>
          <w:i/>
          <w:szCs w:val="24"/>
        </w:rPr>
        <w:t xml:space="preserve">,  </w:t>
      </w:r>
      <w:r w:rsidR="00912F37">
        <w:rPr>
          <w:szCs w:val="24"/>
        </w:rPr>
        <w:t xml:space="preserve">la interpretación </w:t>
      </w:r>
      <w:r w:rsidR="00DF14F3">
        <w:rPr>
          <w:szCs w:val="24"/>
        </w:rPr>
        <w:t>del dictamen AFIP DI ALIR 2018</w:t>
      </w:r>
      <w:r>
        <w:rPr>
          <w:szCs w:val="24"/>
        </w:rPr>
        <w:t xml:space="preserve"> es</w:t>
      </w:r>
      <w:r w:rsidR="00DF14F3">
        <w:rPr>
          <w:szCs w:val="24"/>
        </w:rPr>
        <w:t xml:space="preserve"> la </w:t>
      </w:r>
      <w:r w:rsidR="00912F37">
        <w:rPr>
          <w:szCs w:val="24"/>
        </w:rPr>
        <w:t>correcta</w:t>
      </w:r>
      <w:r w:rsidR="00DF14F3">
        <w:rPr>
          <w:szCs w:val="24"/>
        </w:rPr>
        <w:t>,</w:t>
      </w:r>
      <w:r w:rsidR="00912F37">
        <w:rPr>
          <w:szCs w:val="24"/>
        </w:rPr>
        <w:t xml:space="preserve"> en función </w:t>
      </w:r>
      <w:r w:rsidR="00DF14F3">
        <w:rPr>
          <w:szCs w:val="24"/>
        </w:rPr>
        <w:t xml:space="preserve">a </w:t>
      </w:r>
      <w:r w:rsidR="00912F37">
        <w:rPr>
          <w:szCs w:val="24"/>
        </w:rPr>
        <w:t xml:space="preserve">la idea </w:t>
      </w:r>
      <w:r w:rsidR="00DF14F3">
        <w:rPr>
          <w:szCs w:val="24"/>
        </w:rPr>
        <w:t>de la norma sancionada oportunamente.</w:t>
      </w:r>
    </w:p>
    <w:p w:rsidR="00912F37" w:rsidRDefault="00912F37" w:rsidP="00DF312E">
      <w:pPr>
        <w:spacing w:line="360" w:lineRule="auto"/>
        <w:rPr>
          <w:szCs w:val="24"/>
        </w:rPr>
      </w:pPr>
    </w:p>
    <w:p w:rsidR="00DF312E" w:rsidRPr="00DF312E" w:rsidRDefault="00DF312E" w:rsidP="00DF312E">
      <w:pPr>
        <w:spacing w:line="360" w:lineRule="auto"/>
        <w:rPr>
          <w:szCs w:val="24"/>
        </w:rPr>
      </w:pPr>
      <w:r>
        <w:rPr>
          <w:szCs w:val="24"/>
        </w:rPr>
        <w:t>Por todo lo expuesto, Sr. Presidente, se solicita la aprobación del presente proyecto de declaración.</w:t>
      </w:r>
    </w:p>
    <w:sectPr w:rsidR="00DF312E" w:rsidRPr="00DF312E" w:rsidSect="00026C10">
      <w:headerReference w:type="even" r:id="rId7"/>
      <w:headerReference w:type="default" r:id="rId8"/>
      <w:footerReference w:type="even" r:id="rId9"/>
      <w:footerReference w:type="default" r:id="rId10"/>
      <w:headerReference w:type="first" r:id="rId11"/>
      <w:footerReference w:type="first" r:id="rId12"/>
      <w:pgSz w:w="12242" w:h="19442" w:code="190"/>
      <w:pgMar w:top="2977"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F1E" w:rsidRDefault="002E4F1E">
      <w:r>
        <w:separator/>
      </w:r>
    </w:p>
  </w:endnote>
  <w:endnote w:type="continuationSeparator" w:id="1">
    <w:p w:rsidR="002E4F1E" w:rsidRDefault="002E4F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89" w:rsidRDefault="0027298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85AEB" w:rsidRPr="00185AEB">
        <w:rPr>
          <w:noProof/>
          <w:color w:val="333333"/>
          <w:sz w:val="20"/>
        </w:rPr>
        <w:t>10/03/2022 13:10:00</w:t>
      </w:r>
    </w:fldSimple>
    <w:r w:rsidRPr="001C19C4">
      <w:rPr>
        <w:color w:val="333333"/>
        <w:sz w:val="20"/>
      </w:rPr>
      <w:t xml:space="preserve">  -  Cantidad de caracteres: </w:t>
    </w:r>
    <w:fldSimple w:instr=" NUMCHARS  \* MERGEFORMAT ">
      <w:r w:rsidR="00272989" w:rsidRPr="00272989">
        <w:rPr>
          <w:noProof/>
          <w:color w:val="333333"/>
          <w:sz w:val="20"/>
        </w:rPr>
        <w:t>2584</w:t>
      </w:r>
    </w:fldSimple>
    <w:r w:rsidRPr="001C19C4">
      <w:rPr>
        <w:color w:val="333333"/>
        <w:sz w:val="20"/>
      </w:rPr>
      <w:t xml:space="preserve"> - Cantidad de palabras: </w:t>
    </w:r>
    <w:fldSimple w:instr=" NUMWORDS  \* MERGEFORMAT ">
      <w:r w:rsidR="00272989" w:rsidRPr="00272989">
        <w:rPr>
          <w:noProof/>
          <w:color w:val="333333"/>
          <w:sz w:val="20"/>
        </w:rPr>
        <w:t>472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A5F29" w:rsidRPr="001C19C4">
      <w:rPr>
        <w:rStyle w:val="Nmerodepgina"/>
        <w:color w:val="333333"/>
      </w:rPr>
      <w:fldChar w:fldCharType="begin"/>
    </w:r>
    <w:r w:rsidRPr="001C19C4">
      <w:rPr>
        <w:rStyle w:val="Nmerodepgina"/>
        <w:color w:val="333333"/>
      </w:rPr>
      <w:instrText xml:space="preserve"> PAGE </w:instrText>
    </w:r>
    <w:r w:rsidR="00DA5F29" w:rsidRPr="001C19C4">
      <w:rPr>
        <w:rStyle w:val="Nmerodepgina"/>
        <w:color w:val="333333"/>
      </w:rPr>
      <w:fldChar w:fldCharType="separate"/>
    </w:r>
    <w:r w:rsidR="00272989">
      <w:rPr>
        <w:rStyle w:val="Nmerodepgina"/>
        <w:noProof/>
        <w:color w:val="333333"/>
      </w:rPr>
      <w:t>1</w:t>
    </w:r>
    <w:r w:rsidR="00DA5F29" w:rsidRPr="001C19C4">
      <w:rPr>
        <w:rStyle w:val="Nmerodepgina"/>
        <w:color w:val="333333"/>
      </w:rPr>
      <w:fldChar w:fldCharType="end"/>
    </w:r>
    <w:r w:rsidRPr="001C19C4">
      <w:rPr>
        <w:rStyle w:val="Nmerodepgina"/>
        <w:color w:val="333333"/>
      </w:rPr>
      <w:t>/</w:t>
    </w:r>
    <w:fldSimple w:instr=" NUMPAGES  \* MERGEFORMAT ">
      <w:r w:rsidR="00272989" w:rsidRPr="0027298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89" w:rsidRDefault="0027298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F1E" w:rsidRDefault="002E4F1E">
      <w:r>
        <w:separator/>
      </w:r>
    </w:p>
  </w:footnote>
  <w:footnote w:type="continuationSeparator" w:id="1">
    <w:p w:rsidR="002E4F1E" w:rsidRDefault="002E4F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89" w:rsidRDefault="0027298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989" w:rsidRDefault="0027298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2290"/>
  </w:hdrShapeDefaults>
  <w:footnotePr>
    <w:footnote w:id="0"/>
    <w:footnote w:id="1"/>
  </w:footnotePr>
  <w:endnotePr>
    <w:endnote w:id="0"/>
    <w:endnote w:id="1"/>
  </w:endnotePr>
  <w:compat/>
  <w:rsids>
    <w:rsidRoot w:val="004E3D60"/>
    <w:rsid w:val="00026430"/>
    <w:rsid w:val="00026C1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12E0"/>
    <w:rsid w:val="00127D10"/>
    <w:rsid w:val="00136787"/>
    <w:rsid w:val="00145948"/>
    <w:rsid w:val="00155C7C"/>
    <w:rsid w:val="00160A2A"/>
    <w:rsid w:val="001614A7"/>
    <w:rsid w:val="00182BD2"/>
    <w:rsid w:val="00185AEB"/>
    <w:rsid w:val="0019414B"/>
    <w:rsid w:val="001B770D"/>
    <w:rsid w:val="001C18CC"/>
    <w:rsid w:val="001C19C4"/>
    <w:rsid w:val="001D480C"/>
    <w:rsid w:val="001E0BE9"/>
    <w:rsid w:val="001E0E01"/>
    <w:rsid w:val="001E5394"/>
    <w:rsid w:val="001F2924"/>
    <w:rsid w:val="001F3AFD"/>
    <w:rsid w:val="00205802"/>
    <w:rsid w:val="00205DAD"/>
    <w:rsid w:val="00223436"/>
    <w:rsid w:val="002327DE"/>
    <w:rsid w:val="00246DF0"/>
    <w:rsid w:val="0026220D"/>
    <w:rsid w:val="00265972"/>
    <w:rsid w:val="00272989"/>
    <w:rsid w:val="00275865"/>
    <w:rsid w:val="00276A7E"/>
    <w:rsid w:val="00296815"/>
    <w:rsid w:val="002971A4"/>
    <w:rsid w:val="002B47D0"/>
    <w:rsid w:val="002C25D4"/>
    <w:rsid w:val="002C768C"/>
    <w:rsid w:val="002D05E9"/>
    <w:rsid w:val="002D533A"/>
    <w:rsid w:val="002D778C"/>
    <w:rsid w:val="002E38C3"/>
    <w:rsid w:val="002E4F1E"/>
    <w:rsid w:val="002F7961"/>
    <w:rsid w:val="00302300"/>
    <w:rsid w:val="00305DD1"/>
    <w:rsid w:val="003145ED"/>
    <w:rsid w:val="00315C77"/>
    <w:rsid w:val="00326B46"/>
    <w:rsid w:val="0033168A"/>
    <w:rsid w:val="00335CD9"/>
    <w:rsid w:val="00340F54"/>
    <w:rsid w:val="0035681D"/>
    <w:rsid w:val="00361201"/>
    <w:rsid w:val="003957FE"/>
    <w:rsid w:val="00395843"/>
    <w:rsid w:val="003A7311"/>
    <w:rsid w:val="003A77C8"/>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3D60"/>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0216"/>
    <w:rsid w:val="00622DE5"/>
    <w:rsid w:val="00636BE0"/>
    <w:rsid w:val="00641F2E"/>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4A86"/>
    <w:rsid w:val="008B4536"/>
    <w:rsid w:val="008C4AC3"/>
    <w:rsid w:val="00906685"/>
    <w:rsid w:val="00910E0F"/>
    <w:rsid w:val="00912F37"/>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3132"/>
    <w:rsid w:val="00BF2B7B"/>
    <w:rsid w:val="00BF71C2"/>
    <w:rsid w:val="00C26F53"/>
    <w:rsid w:val="00C330CB"/>
    <w:rsid w:val="00C3675D"/>
    <w:rsid w:val="00C419C1"/>
    <w:rsid w:val="00C51E49"/>
    <w:rsid w:val="00C521F9"/>
    <w:rsid w:val="00C63351"/>
    <w:rsid w:val="00C71253"/>
    <w:rsid w:val="00C734F9"/>
    <w:rsid w:val="00C87365"/>
    <w:rsid w:val="00C93FF6"/>
    <w:rsid w:val="00C948E0"/>
    <w:rsid w:val="00CC20B0"/>
    <w:rsid w:val="00CE163F"/>
    <w:rsid w:val="00D21279"/>
    <w:rsid w:val="00D43AA2"/>
    <w:rsid w:val="00D518DB"/>
    <w:rsid w:val="00D55ECB"/>
    <w:rsid w:val="00D67721"/>
    <w:rsid w:val="00D758CE"/>
    <w:rsid w:val="00D76A86"/>
    <w:rsid w:val="00D927D4"/>
    <w:rsid w:val="00DA5F29"/>
    <w:rsid w:val="00DD2795"/>
    <w:rsid w:val="00DD4DE2"/>
    <w:rsid w:val="00DD520D"/>
    <w:rsid w:val="00DF0164"/>
    <w:rsid w:val="00DF14A9"/>
    <w:rsid w:val="00DF14F3"/>
    <w:rsid w:val="00DF312E"/>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E9"/>
    <w:pPr>
      <w:jc w:val="both"/>
    </w:pPr>
    <w:rPr>
      <w:sz w:val="24"/>
      <w:lang w:val="es-ES_tradnl" w:eastAsia="es-ES"/>
    </w:rPr>
  </w:style>
  <w:style w:type="paragraph" w:styleId="Ttulo2">
    <w:name w:val="heading 2"/>
    <w:basedOn w:val="Normal"/>
    <w:link w:val="Ttulo2Car"/>
    <w:uiPriority w:val="9"/>
    <w:qFormat/>
    <w:rsid w:val="001E0BE9"/>
    <w:pPr>
      <w:spacing w:before="100" w:beforeAutospacing="1" w:after="100" w:afterAutospacing="1"/>
      <w:jc w:val="left"/>
      <w:outlineLvl w:val="1"/>
    </w:pPr>
    <w:rPr>
      <w:b/>
      <w:bCs/>
      <w:sz w:val="36"/>
      <w:szCs w:val="36"/>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2Car">
    <w:name w:val="Título 2 Car"/>
    <w:basedOn w:val="Fuentedeprrafopredeter"/>
    <w:link w:val="Ttulo2"/>
    <w:uiPriority w:val="9"/>
    <w:rsid w:val="001E0BE9"/>
    <w:rPr>
      <w:b/>
      <w:bCs/>
      <w:sz w:val="36"/>
      <w:szCs w:val="36"/>
    </w:rPr>
  </w:style>
  <w:style w:type="character" w:styleId="Textoennegrita">
    <w:name w:val="Strong"/>
    <w:basedOn w:val="Fuentedeprrafopredeter"/>
    <w:uiPriority w:val="22"/>
    <w:qFormat/>
    <w:rsid w:val="001E0BE9"/>
    <w:rPr>
      <w:b/>
      <w:bCs/>
    </w:rPr>
  </w:style>
</w:styles>
</file>

<file path=word/webSettings.xml><?xml version="1.0" encoding="utf-8"?>
<w:webSettings xmlns:r="http://schemas.openxmlformats.org/officeDocument/2006/relationships" xmlns:w="http://schemas.openxmlformats.org/wordprocessingml/2006/main">
  <w:divs>
    <w:div w:id="66771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garcia\Downloads\6be2afe5-e9df-426b-8515-eceea4b1aa5f%20(1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(12)</Template>
  <TotalTime>200</TotalTime>
  <Pages>3</Pages>
  <Words>472</Words>
  <Characters>2584</Characters>
  <Application>Microsoft Office Word</Application>
  <DocSecurity>0</DocSecurity>
  <Lines>81</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josgarcia</dc:creator>
  <cp:lastModifiedBy>mebalbi</cp:lastModifiedBy>
  <cp:revision>3</cp:revision>
  <cp:lastPrinted>2022-03-10T15:42:00Z</cp:lastPrinted>
  <dcterms:created xsi:type="dcterms:W3CDTF">2022-03-10T16:12:00Z</dcterms:created>
  <dcterms:modified xsi:type="dcterms:W3CDTF">2022-03-10T19:32:00Z</dcterms:modified>
</cp:coreProperties>
</file>