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ED2" w:rsidRPr="000F2ED2" w:rsidRDefault="000F2ED2" w:rsidP="000F2ED2">
      <w:pPr>
        <w:jc w:val="center"/>
        <w:rPr>
          <w:b/>
          <w:lang w:val="es-MX"/>
        </w:rPr>
      </w:pPr>
      <w:r w:rsidRPr="000F2ED2">
        <w:rPr>
          <w:b/>
          <w:lang w:val="es-MX"/>
        </w:rPr>
        <w:t>PROYECTO DE DECLARACIÓN</w:t>
      </w:r>
    </w:p>
    <w:p w:rsidR="000F2ED2" w:rsidRPr="000F2ED2" w:rsidRDefault="000F2ED2" w:rsidP="000F2ED2">
      <w:pPr>
        <w:rPr>
          <w:b/>
          <w:lang w:val="es-MX"/>
        </w:rPr>
      </w:pPr>
    </w:p>
    <w:p w:rsidR="000F2ED2" w:rsidRPr="000F2ED2" w:rsidRDefault="000F2ED2" w:rsidP="000F2ED2">
      <w:pPr>
        <w:rPr>
          <w:lang w:val="es-MX"/>
        </w:rPr>
      </w:pPr>
    </w:p>
    <w:p w:rsidR="000F2ED2" w:rsidRPr="000F2ED2" w:rsidRDefault="000F2ED2" w:rsidP="000F2ED2">
      <w:pPr>
        <w:rPr>
          <w:lang w:val="es-MX"/>
        </w:rPr>
      </w:pPr>
      <w:r w:rsidRPr="000F2ED2">
        <w:t>La Legislatura de la Ciudad Autónoma de Buenos Aires conmemora el "Día Internacional de las Niñas en las TIC”, que se celebra el 22 de abril, y adhiere a las actividades que se realicen en el marco de dicha fecha.</w:t>
      </w: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MX"/>
        </w:rPr>
      </w:pPr>
    </w:p>
    <w:p w:rsidR="000F2ED2" w:rsidRDefault="000F2ED2">
      <w:pPr>
        <w:jc w:val="left"/>
        <w:rPr>
          <w:b/>
          <w:lang w:val="es-MX"/>
        </w:rPr>
      </w:pPr>
      <w:r>
        <w:rPr>
          <w:b/>
          <w:lang w:val="es-MX"/>
        </w:rPr>
        <w:br w:type="page"/>
      </w:r>
    </w:p>
    <w:p w:rsidR="000F2ED2" w:rsidRPr="000F2ED2" w:rsidRDefault="000F2ED2" w:rsidP="000F2ED2">
      <w:pPr>
        <w:jc w:val="center"/>
        <w:rPr>
          <w:b/>
          <w:lang w:val="es-MX"/>
        </w:rPr>
      </w:pPr>
      <w:r w:rsidRPr="000F2ED2">
        <w:rPr>
          <w:b/>
          <w:lang w:val="es-MX"/>
        </w:rPr>
        <w:lastRenderedPageBreak/>
        <w:t>FUNDAMENTOS</w:t>
      </w:r>
    </w:p>
    <w:p w:rsidR="000F2ED2" w:rsidRPr="000F2ED2" w:rsidRDefault="000F2ED2" w:rsidP="000F2ED2">
      <w:pPr>
        <w:rPr>
          <w:b/>
          <w:lang w:val="es-MX"/>
        </w:rPr>
      </w:pPr>
    </w:p>
    <w:p w:rsidR="000F2ED2" w:rsidRPr="000F2ED2" w:rsidRDefault="000F2ED2" w:rsidP="000F2ED2">
      <w:pPr>
        <w:rPr>
          <w:b/>
          <w:lang w:val="es-MX"/>
        </w:rPr>
      </w:pPr>
    </w:p>
    <w:p w:rsidR="000F2ED2" w:rsidRPr="000F2ED2" w:rsidRDefault="000F2ED2" w:rsidP="000F2ED2">
      <w:pPr>
        <w:rPr>
          <w:lang w:val="es-MX"/>
        </w:rPr>
      </w:pPr>
      <w:r w:rsidRPr="000F2ED2">
        <w:rPr>
          <w:lang w:val="es-MX"/>
        </w:rPr>
        <w:t>Señor Presidente:</w:t>
      </w:r>
    </w:p>
    <w:p w:rsidR="000F2ED2" w:rsidRPr="000F2ED2" w:rsidRDefault="000F2ED2" w:rsidP="000F2ED2">
      <w:pPr>
        <w:rPr>
          <w:lang w:val="es-MX"/>
        </w:rPr>
      </w:pPr>
    </w:p>
    <w:p w:rsidR="000F2ED2" w:rsidRPr="000F2ED2" w:rsidRDefault="000F2ED2" w:rsidP="000F2ED2">
      <w:pPr>
        <w:rPr>
          <w:lang w:val="es-MX"/>
        </w:rPr>
      </w:pPr>
    </w:p>
    <w:p w:rsidR="000F2ED2" w:rsidRPr="000F2ED2" w:rsidRDefault="000F2ED2" w:rsidP="000F2ED2">
      <w:pPr>
        <w:rPr>
          <w:lang w:val="es-AR"/>
        </w:rPr>
      </w:pPr>
      <w:r w:rsidRPr="000F2ED2">
        <w:rPr>
          <w:lang w:val="es-AR"/>
        </w:rPr>
        <w:t>En el año 2010, la Unión Internacional de Telecomunicaciones (UIT) estableció el Día Internacional de las Niñas en las Tecnologías de la Información y la Comunicación (TIC), con el objetivo de alentar a las niñas y las jóvenes a incursionar en el mundo de las tecnológicas y, de esa forma, acortar y reducir la brecha digital de género. </w:t>
      </w:r>
    </w:p>
    <w:p w:rsidR="000F2ED2" w:rsidRPr="000F2ED2" w:rsidRDefault="000F2ED2" w:rsidP="000F2ED2">
      <w:pPr>
        <w:rPr>
          <w:lang w:val="es-AR"/>
        </w:rPr>
      </w:pPr>
    </w:p>
    <w:p w:rsidR="000F2ED2" w:rsidRPr="000F2ED2" w:rsidRDefault="000F2ED2" w:rsidP="000F2ED2">
      <w:pPr>
        <w:rPr>
          <w:lang w:val="es-AR"/>
        </w:rPr>
      </w:pPr>
      <w:r w:rsidRPr="000F2ED2">
        <w:rPr>
          <w:lang w:val="es-AR"/>
        </w:rPr>
        <w:t xml:space="preserve">En general, suele asociarse la brecha digital de género con cuestiones vinculadas con el acceso a dispositivos y la conexión a internet. Sin embargo, si bien el acceso es un factor relevante, existe una desigualdad más estructural, que no se centra tanto en la mujer en tanto usuaria o consumidora de servicios tecnológicos y digitales, sino en tanto creadora de tecnología y productora de contenidos digitales, donde la brecha de género se amplía, en tanto su presencia y participación es mucho menor que la de los hombres. </w:t>
      </w:r>
    </w:p>
    <w:p w:rsidR="000F2ED2" w:rsidRPr="000F2ED2" w:rsidRDefault="000F2ED2" w:rsidP="000F2ED2">
      <w:pPr>
        <w:rPr>
          <w:lang w:val="es-AR"/>
        </w:rPr>
      </w:pPr>
    </w:p>
    <w:p w:rsidR="000F2ED2" w:rsidRPr="000F2ED2" w:rsidRDefault="000F2ED2" w:rsidP="000F2ED2">
      <w:pPr>
        <w:rPr>
          <w:lang w:val="es-AR"/>
        </w:rPr>
      </w:pPr>
      <w:r w:rsidRPr="000F2ED2">
        <w:rPr>
          <w:lang w:val="es-AR"/>
        </w:rPr>
        <w:t xml:space="preserve">La desigualdad estructural en el acceso al ámbito tecnológico tiene consecuencias directas sobre la igualdad de oportunidades, la inserción laboral de las mujeres en mejores puestos de trabajo, y, en mayor escala, en el desarrollo económico y social del país en su conjunto. </w:t>
      </w:r>
    </w:p>
    <w:p w:rsidR="000F2ED2" w:rsidRPr="000F2ED2" w:rsidRDefault="000F2ED2" w:rsidP="000F2ED2">
      <w:pPr>
        <w:rPr>
          <w:lang w:val="es-AR"/>
        </w:rPr>
      </w:pPr>
    </w:p>
    <w:p w:rsidR="000F2ED2" w:rsidRPr="000F2ED2" w:rsidRDefault="000F2ED2" w:rsidP="000F2ED2">
      <w:pPr>
        <w:rPr>
          <w:lang w:val="es-AR"/>
        </w:rPr>
      </w:pPr>
      <w:r w:rsidRPr="000F2ED2">
        <w:rPr>
          <w:lang w:val="es-AR"/>
        </w:rPr>
        <w:t xml:space="preserve">Dentro de las disciplinas “STEM” (por sus siglas en inglés, se refiere a las áreas de ciencia, tecnología, ingeniería y matemáticas) las TIC y las ingenierías son aquellas donde los hombres son mayoritarios y donde la matriculación de mujeres es de 27% y 28% respectivamente (UNESCO, 2018). </w:t>
      </w:r>
    </w:p>
    <w:p w:rsidR="000F2ED2" w:rsidRPr="000F2ED2" w:rsidRDefault="000F2ED2" w:rsidP="000F2ED2">
      <w:pPr>
        <w:rPr>
          <w:lang w:val="es-AR"/>
        </w:rPr>
      </w:pPr>
    </w:p>
    <w:p w:rsidR="000F2ED2" w:rsidRPr="000F2ED2" w:rsidRDefault="000F2ED2" w:rsidP="000F2ED2">
      <w:pPr>
        <w:rPr>
          <w:lang w:val="es-AR"/>
        </w:rPr>
      </w:pPr>
      <w:r w:rsidRPr="000F2ED2">
        <w:rPr>
          <w:lang w:val="es-AR"/>
        </w:rPr>
        <w:t>De acuerdo con la UIT, “la falta de participación de las mujeres jóvenes en los estudios relacionados con las TIC se refleja en las empresas y los organismos gubernamentales de todo el mundo. En la actualidad, el sector está dominado por los hombres, especialmente los niveles superiores. De estar presentes, las mujeres suelen quedar relegadas a puestos de trabajo de bajo nivel y escasa cualificación.”</w:t>
      </w:r>
    </w:p>
    <w:p w:rsidR="000F2ED2" w:rsidRPr="000F2ED2" w:rsidRDefault="000F2ED2" w:rsidP="000F2ED2">
      <w:pPr>
        <w:rPr>
          <w:lang w:val="es-AR"/>
        </w:rPr>
      </w:pPr>
    </w:p>
    <w:p w:rsidR="000F2ED2" w:rsidRPr="000F2ED2" w:rsidRDefault="000F2ED2" w:rsidP="000F2ED2">
      <w:pPr>
        <w:rPr>
          <w:lang w:val="es-AR"/>
        </w:rPr>
      </w:pPr>
      <w:r w:rsidRPr="000F2ED2">
        <w:rPr>
          <w:lang w:val="es-AR"/>
        </w:rPr>
        <w:t>La Agenda 2030 de Desarrollo Sostenible, en particular el ODS 5 “Lograr la igualdad entre los géneros y empoderar a todas las mujeres y niñas”, incluye, como una de sus metas “Mejorar el uso de la tecnología instrumental, en particular la tecnología de la información y las comunicaciones, para promover el empoderamiento de las mujeres”. </w:t>
      </w:r>
    </w:p>
    <w:p w:rsidR="000F2ED2" w:rsidRPr="000F2ED2" w:rsidRDefault="000F2ED2" w:rsidP="000F2ED2">
      <w:pPr>
        <w:rPr>
          <w:lang w:val="es-AR"/>
        </w:rPr>
      </w:pPr>
    </w:p>
    <w:p w:rsidR="000F2ED2" w:rsidRPr="000F2ED2" w:rsidRDefault="000F2ED2" w:rsidP="000F2ED2">
      <w:pPr>
        <w:rPr>
          <w:lang w:val="es-AR"/>
        </w:rPr>
      </w:pPr>
      <w:r w:rsidRPr="000F2ED2">
        <w:rPr>
          <w:lang w:val="es-AR"/>
        </w:rPr>
        <w:t>Es un hecho que las desigualdades de género se construyen desde la primera infancia y se cristalizan en oportunidades diferenciales y trayectorias desiguales en mujeres y varones. En este sentido, la evidencia sugiere que las desventajas de las niñas en las disciplinas vinculadas con las STEM se fundan en patrones culturales que derivan en estereotipos de género que son replicados en la escuela.</w:t>
      </w:r>
    </w:p>
    <w:p w:rsidR="000F2ED2" w:rsidRPr="000F2ED2" w:rsidRDefault="000F2ED2" w:rsidP="000F2ED2">
      <w:pPr>
        <w:rPr>
          <w:lang w:val="es-AR"/>
        </w:rPr>
      </w:pPr>
    </w:p>
    <w:p w:rsidR="000F2ED2" w:rsidRPr="000F2ED2" w:rsidRDefault="000F2ED2" w:rsidP="000F2ED2">
      <w:pPr>
        <w:rPr>
          <w:lang w:val="es-AR"/>
        </w:rPr>
      </w:pPr>
      <w:r w:rsidRPr="000F2ED2">
        <w:rPr>
          <w:lang w:val="es-AR"/>
        </w:rPr>
        <w:t xml:space="preserve">Los estereotipos de género que desalientan a las niñas a inscribirse en cursos o carreras de ciencia y tecnología desde edades tempranas son reforzados a través de la familia, la escuela, los medios de comunicación y la sociedad en su conjunto, y se cristalizan, a su vez en diferencias en las capacidades y habilidades de las personas para acceder, utilizar programas, equipos informáticos y los recursos del nuevo paradigma tecnológico. </w:t>
      </w:r>
    </w:p>
    <w:p w:rsidR="000F2ED2" w:rsidRPr="000F2ED2" w:rsidRDefault="000F2ED2" w:rsidP="000F2ED2">
      <w:pPr>
        <w:rPr>
          <w:lang w:val="es-AR"/>
        </w:rPr>
      </w:pPr>
    </w:p>
    <w:p w:rsidR="000F2ED2" w:rsidRPr="000F2ED2" w:rsidRDefault="000F2ED2" w:rsidP="000F2ED2">
      <w:pPr>
        <w:rPr>
          <w:lang w:val="es-AR"/>
        </w:rPr>
      </w:pPr>
      <w:r w:rsidRPr="000F2ED2">
        <w:rPr>
          <w:lang w:val="es-AR"/>
        </w:rPr>
        <w:t xml:space="preserve">Según ONU Mujeres, para 2050 el 75% de los trabajos estará relacionado con las áreas STEM. Hoy, 9 de cada 10 niñas entre 6 y 8 años asocia la ingeniería con habilidades masculinas. </w:t>
      </w:r>
    </w:p>
    <w:p w:rsidR="000F2ED2" w:rsidRPr="000F2ED2" w:rsidRDefault="000F2ED2" w:rsidP="000F2ED2">
      <w:pPr>
        <w:rPr>
          <w:lang w:val="es-AR"/>
        </w:rPr>
      </w:pPr>
    </w:p>
    <w:p w:rsidR="000F2ED2" w:rsidRPr="000F2ED2" w:rsidRDefault="000F2ED2" w:rsidP="000F2ED2">
      <w:pPr>
        <w:rPr>
          <w:lang w:val="es-AR"/>
        </w:rPr>
      </w:pPr>
      <w:r w:rsidRPr="000F2ED2">
        <w:rPr>
          <w:lang w:val="es-AR"/>
        </w:rPr>
        <w:lastRenderedPageBreak/>
        <w:t xml:space="preserve">Es por ello que el Día Internacional de las Niñas en las TIC nos recuerda que desde el Estado debemos trabajar para promover el uso y la participación de las niñas en las TIC, que las niñas y las mujeres puedan aprovechar -al igual que los varones- las ventajas que dichas herramientas proporcionan en términos de mejorar sus posibilidades de inserción laboral en empleos y ocupaciones más productivas y rentables, promoviendo su autonomía económica; de aumentar su eficiencia en el uso del tiempo; y de lograr menores costos en el acceso a la información y el consiguiente empoderamiento a partir del acceso a la misma. </w:t>
      </w:r>
    </w:p>
    <w:p w:rsidR="000F2ED2" w:rsidRPr="000F2ED2" w:rsidRDefault="000F2ED2" w:rsidP="000F2ED2">
      <w:pPr>
        <w:rPr>
          <w:lang w:val="es-AR"/>
        </w:rPr>
      </w:pPr>
    </w:p>
    <w:p w:rsidR="000F2ED2" w:rsidRPr="000F2ED2" w:rsidRDefault="000F2ED2" w:rsidP="000F2ED2">
      <w:pPr>
        <w:rPr>
          <w:lang w:val="es-AR"/>
        </w:rPr>
      </w:pPr>
      <w:r w:rsidRPr="000F2ED2">
        <w:rPr>
          <w:lang w:val="es-AR"/>
        </w:rPr>
        <w:t xml:space="preserve">Es por todo lo expuesto que solicito a mis pares la aprobación del siguiente proyecto de declaración. </w:t>
      </w:r>
      <w:hyperlink r:id="rId7" w:history="1">
        <w:r w:rsidRPr="000F2ED2">
          <w:rPr>
            <w:rStyle w:val="Hipervnculo"/>
            <w:lang w:val="es-AR"/>
          </w:rPr>
          <w:br/>
        </w:r>
      </w:hyperlink>
    </w:p>
    <w:p w:rsidR="000F2ED2" w:rsidRPr="000F2ED2" w:rsidRDefault="000F2ED2" w:rsidP="000F2ED2">
      <w:pPr>
        <w:rPr>
          <w:lang w:val="es-AR"/>
        </w:rPr>
      </w:pPr>
    </w:p>
    <w:p w:rsidR="000F2ED2" w:rsidRPr="000F2ED2" w:rsidRDefault="000F2ED2" w:rsidP="000F2ED2">
      <w:pPr>
        <w:rPr>
          <w:lang w:val="es-AR"/>
        </w:rPr>
      </w:pPr>
    </w:p>
    <w:p w:rsidR="000F2ED2" w:rsidRPr="000F2ED2" w:rsidRDefault="000F2ED2" w:rsidP="000F2ED2">
      <w:pPr>
        <w:rPr>
          <w:lang w:val="es-AR"/>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5E4" w:rsidRDefault="003C05E4">
      <w:r>
        <w:separator/>
      </w:r>
    </w:p>
  </w:endnote>
  <w:endnote w:type="continuationSeparator" w:id="1">
    <w:p w:rsidR="003C05E4" w:rsidRDefault="003C05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F2ED2" w:rsidRPr="000F2ED2">
        <w:rPr>
          <w:noProof/>
          <w:color w:val="333333"/>
          <w:sz w:val="20"/>
        </w:rPr>
        <w:t>00/00/0000 0:00:00</w:t>
      </w:r>
    </w:fldSimple>
    <w:r w:rsidRPr="001C19C4">
      <w:rPr>
        <w:color w:val="333333"/>
        <w:sz w:val="20"/>
      </w:rPr>
      <w:t xml:space="preserve">  -  Cantidad de caracteres: </w:t>
    </w:r>
    <w:fldSimple w:instr=" NUMCHARS  \* MERGEFORMAT ">
      <w:r w:rsidR="000F2ED2" w:rsidRPr="000F2ED2">
        <w:rPr>
          <w:noProof/>
          <w:color w:val="333333"/>
          <w:sz w:val="20"/>
        </w:rPr>
        <w:t>3494</w:t>
      </w:r>
    </w:fldSimple>
    <w:r w:rsidRPr="001C19C4">
      <w:rPr>
        <w:color w:val="333333"/>
        <w:sz w:val="20"/>
      </w:rPr>
      <w:t xml:space="preserve"> - Cantidad de palabras: </w:t>
    </w:r>
    <w:fldSimple w:instr=" NUMWORDS  \* MERGEFORMAT ">
      <w:r w:rsidR="000F2ED2" w:rsidRPr="000F2ED2">
        <w:rPr>
          <w:noProof/>
          <w:color w:val="333333"/>
          <w:sz w:val="20"/>
        </w:rPr>
        <w:t>690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455B9" w:rsidRPr="001C19C4">
      <w:rPr>
        <w:rStyle w:val="Nmerodepgina"/>
        <w:color w:val="333333"/>
      </w:rPr>
      <w:fldChar w:fldCharType="begin"/>
    </w:r>
    <w:r w:rsidRPr="001C19C4">
      <w:rPr>
        <w:rStyle w:val="Nmerodepgina"/>
        <w:color w:val="333333"/>
      </w:rPr>
      <w:instrText xml:space="preserve"> PAGE </w:instrText>
    </w:r>
    <w:r w:rsidR="009455B9" w:rsidRPr="001C19C4">
      <w:rPr>
        <w:rStyle w:val="Nmerodepgina"/>
        <w:color w:val="333333"/>
      </w:rPr>
      <w:fldChar w:fldCharType="separate"/>
    </w:r>
    <w:r w:rsidR="000F2ED2">
      <w:rPr>
        <w:rStyle w:val="Nmerodepgina"/>
        <w:noProof/>
        <w:color w:val="333333"/>
      </w:rPr>
      <w:t>3</w:t>
    </w:r>
    <w:r w:rsidR="009455B9" w:rsidRPr="001C19C4">
      <w:rPr>
        <w:rStyle w:val="Nmerodepgina"/>
        <w:color w:val="333333"/>
      </w:rPr>
      <w:fldChar w:fldCharType="end"/>
    </w:r>
    <w:r w:rsidRPr="001C19C4">
      <w:rPr>
        <w:rStyle w:val="Nmerodepgina"/>
        <w:color w:val="333333"/>
      </w:rPr>
      <w:t>/</w:t>
    </w:r>
    <w:fldSimple w:instr=" NUMPAGES  \* MERGEFORMAT ">
      <w:r w:rsidR="000F2ED2" w:rsidRPr="000F2ED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5E4" w:rsidRDefault="003C05E4">
      <w:r>
        <w:separator/>
      </w:r>
    </w:p>
  </w:footnote>
  <w:footnote w:type="continuationSeparator" w:id="1">
    <w:p w:rsidR="003C05E4" w:rsidRDefault="003C05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3C05E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2ED2"/>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05E4"/>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55B9"/>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0F2E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tu.int/en/Pages/social-media.asp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ustig\Desktop\Plantilla%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proyectos</Template>
  <TotalTime>1</TotalTime>
  <Pages>3</Pages>
  <Words>690</Words>
  <Characters>3494</Characters>
  <Application>Microsoft Office Word</Application>
  <DocSecurity>0</DocSecurity>
  <Lines>126</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talustig</dc:creator>
  <cp:lastModifiedBy>talustig</cp:lastModifiedBy>
  <cp:revision>1</cp:revision>
  <cp:lastPrinted>2020-02-28T17:24:00Z</cp:lastPrinted>
  <dcterms:created xsi:type="dcterms:W3CDTF">2022-03-15T13:33:00Z</dcterms:created>
  <dcterms:modified xsi:type="dcterms:W3CDTF">2022-03-15T13:35:00Z</dcterms:modified>
</cp:coreProperties>
</file>