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44E" w:rsidRPr="002B144E" w:rsidRDefault="002B144E" w:rsidP="002B144E">
      <w:pPr>
        <w:jc w:val="center"/>
        <w:rPr>
          <w:lang w:val="es-AR"/>
        </w:rPr>
      </w:pPr>
      <w:r w:rsidRPr="002B144E">
        <w:rPr>
          <w:b/>
          <w:bCs/>
          <w:lang w:val="es-AR"/>
        </w:rPr>
        <w:t>PROYECTO DE RESOLUCIÓN</w:t>
      </w:r>
    </w:p>
    <w:p w:rsidR="002B144E" w:rsidRPr="002B144E" w:rsidRDefault="002B144E" w:rsidP="002B144E">
      <w:pPr>
        <w:rPr>
          <w:lang w:val="es-AR"/>
        </w:rPr>
      </w:pPr>
    </w:p>
    <w:p w:rsidR="00B177FE" w:rsidRDefault="00B177FE" w:rsidP="00081FFF">
      <w:pPr>
        <w:rPr>
          <w:lang w:val="es-MX"/>
        </w:rPr>
      </w:pPr>
    </w:p>
    <w:p w:rsidR="00341AEF" w:rsidRPr="00341AEF" w:rsidRDefault="00341AEF" w:rsidP="00341AEF">
      <w:pPr>
        <w:rPr>
          <w:lang w:val="es-AR"/>
        </w:rPr>
      </w:pPr>
      <w:r w:rsidRPr="00341AEF">
        <w:rPr>
          <w:b/>
          <w:bCs/>
          <w:lang w:val="es-AR"/>
        </w:rPr>
        <w:t>Artículo 1°.-</w:t>
      </w:r>
      <w:r w:rsidRPr="00341AEF">
        <w:rPr>
          <w:lang w:val="es-AR"/>
        </w:rPr>
        <w:t xml:space="preserve"> El Poder Ejecutivo informará, a través de los organismos correspondientes, dentro del plazo de treinta (30) días de recibida la presente, acerca del los siguientes puntos referidos a la Ley 1153 “Parque Avellaneda” de la Ciudad de Buenos Aires:</w:t>
      </w:r>
    </w:p>
    <w:p w:rsidR="00341AEF" w:rsidRPr="00341AEF" w:rsidRDefault="00341AEF" w:rsidP="00341AEF">
      <w:pPr>
        <w:spacing w:after="240"/>
        <w:rPr>
          <w:lang w:val="es-AR"/>
        </w:rPr>
      </w:pPr>
    </w:p>
    <w:p w:rsidR="00341AEF" w:rsidRPr="00341AEF" w:rsidRDefault="00341AEF" w:rsidP="00341AEF">
      <w:pPr>
        <w:numPr>
          <w:ilvl w:val="0"/>
          <w:numId w:val="6"/>
        </w:numPr>
        <w:tabs>
          <w:tab w:val="clear" w:pos="720"/>
        </w:tabs>
        <w:spacing w:after="240"/>
        <w:rPr>
          <w:lang w:val="es-AR"/>
        </w:rPr>
      </w:pPr>
      <w:r w:rsidRPr="00341AEF">
        <w:rPr>
          <w:lang w:val="es-AR"/>
        </w:rPr>
        <w:t>Indique la posición geolocalizada de cada sector que conforma la Unidad Ambiental y de Gestión del Parque Avellaneda conforme el artículo 1° de la Ley 1.153. Detalle a su vez, posición geolocalizada de las edificaciones con las que cuenta cada sector. Adjunte  plancheta catastral y mapa con la posición geolocalizada de cada sector.</w:t>
      </w:r>
    </w:p>
    <w:p w:rsidR="00341AEF" w:rsidRPr="00341AEF" w:rsidRDefault="00341AEF" w:rsidP="00341AEF">
      <w:pPr>
        <w:numPr>
          <w:ilvl w:val="0"/>
          <w:numId w:val="6"/>
        </w:numPr>
        <w:tabs>
          <w:tab w:val="clear" w:pos="720"/>
        </w:tabs>
        <w:spacing w:after="240"/>
        <w:rPr>
          <w:lang w:val="es-AR"/>
        </w:rPr>
      </w:pPr>
      <w:r w:rsidRPr="00341AEF">
        <w:rPr>
          <w:lang w:val="es-AR"/>
        </w:rPr>
        <w:t>Respecto de los sectores del Parque Avellaneda enumerados en el art. 1 de la ley 1.153 y que asimismo se detallan a continuación, indique por cada uno cuál es el área de Gobierno responsable:</w:t>
      </w:r>
    </w:p>
    <w:p w:rsidR="00341AEF" w:rsidRPr="00341AEF" w:rsidRDefault="00341AEF" w:rsidP="00341AEF">
      <w:pPr>
        <w:numPr>
          <w:ilvl w:val="1"/>
          <w:numId w:val="12"/>
        </w:numPr>
        <w:spacing w:after="240"/>
        <w:rPr>
          <w:lang w:val="es-AR"/>
        </w:rPr>
      </w:pPr>
      <w:r w:rsidRPr="00341AEF">
        <w:rPr>
          <w:lang w:val="es-AR"/>
        </w:rPr>
        <w:t>Espacio verde en general.</w:t>
      </w:r>
    </w:p>
    <w:p w:rsidR="00341AEF" w:rsidRPr="00341AEF" w:rsidRDefault="00341AEF" w:rsidP="00341AEF">
      <w:pPr>
        <w:numPr>
          <w:ilvl w:val="1"/>
          <w:numId w:val="12"/>
        </w:numPr>
        <w:spacing w:after="240"/>
        <w:rPr>
          <w:lang w:val="es-AR"/>
        </w:rPr>
      </w:pPr>
      <w:r w:rsidRPr="00341AEF">
        <w:rPr>
          <w:lang w:val="es-AR"/>
        </w:rPr>
        <w:t>El Antiguo Natatorio (Escuela EEM 2° DE 13° – Ernesto Che Guevara). </w:t>
      </w:r>
    </w:p>
    <w:p w:rsidR="00341AEF" w:rsidRPr="00341AEF" w:rsidRDefault="00341AEF" w:rsidP="00341AEF">
      <w:pPr>
        <w:numPr>
          <w:ilvl w:val="1"/>
          <w:numId w:val="12"/>
        </w:numPr>
        <w:spacing w:after="240"/>
        <w:rPr>
          <w:lang w:val="es-AR"/>
        </w:rPr>
      </w:pPr>
      <w:r w:rsidRPr="00341AEF">
        <w:rPr>
          <w:lang w:val="es-AR"/>
        </w:rPr>
        <w:t>La Casona de los Olivera - Biblioteca.</w:t>
      </w:r>
    </w:p>
    <w:p w:rsidR="00341AEF" w:rsidRPr="00341AEF" w:rsidRDefault="00341AEF" w:rsidP="00341AEF">
      <w:pPr>
        <w:numPr>
          <w:ilvl w:val="1"/>
          <w:numId w:val="12"/>
        </w:numPr>
        <w:spacing w:after="240"/>
        <w:rPr>
          <w:lang w:val="es-AR"/>
        </w:rPr>
      </w:pPr>
      <w:r w:rsidRPr="00341AEF">
        <w:rPr>
          <w:lang w:val="es-AR"/>
        </w:rPr>
        <w:t>El Polideportivo.</w:t>
      </w:r>
    </w:p>
    <w:p w:rsidR="00341AEF" w:rsidRPr="00341AEF" w:rsidRDefault="00341AEF" w:rsidP="00341AEF">
      <w:pPr>
        <w:numPr>
          <w:ilvl w:val="1"/>
          <w:numId w:val="12"/>
        </w:numPr>
        <w:spacing w:after="240"/>
        <w:rPr>
          <w:lang w:val="es-AR"/>
        </w:rPr>
      </w:pPr>
      <w:r w:rsidRPr="00341AEF">
        <w:rPr>
          <w:lang w:val="es-AR"/>
        </w:rPr>
        <w:t>El Tambo. </w:t>
      </w:r>
    </w:p>
    <w:p w:rsidR="00341AEF" w:rsidRPr="00341AEF" w:rsidRDefault="00341AEF" w:rsidP="00341AEF">
      <w:pPr>
        <w:numPr>
          <w:ilvl w:val="1"/>
          <w:numId w:val="12"/>
        </w:numPr>
        <w:spacing w:after="240"/>
        <w:rPr>
          <w:lang w:val="es-AR"/>
        </w:rPr>
      </w:pPr>
      <w:r w:rsidRPr="00341AEF">
        <w:rPr>
          <w:lang w:val="es-AR"/>
        </w:rPr>
        <w:t>El Frigorífico. </w:t>
      </w:r>
    </w:p>
    <w:p w:rsidR="00341AEF" w:rsidRPr="00341AEF" w:rsidRDefault="00341AEF" w:rsidP="00341AEF">
      <w:pPr>
        <w:numPr>
          <w:ilvl w:val="1"/>
          <w:numId w:val="12"/>
        </w:numPr>
        <w:spacing w:after="240"/>
        <w:rPr>
          <w:lang w:val="es-AR"/>
        </w:rPr>
      </w:pPr>
      <w:r w:rsidRPr="00341AEF">
        <w:rPr>
          <w:lang w:val="es-AR"/>
        </w:rPr>
        <w:t>La Cremería.</w:t>
      </w:r>
    </w:p>
    <w:p w:rsidR="00341AEF" w:rsidRPr="00341AEF" w:rsidRDefault="00341AEF" w:rsidP="00341AEF">
      <w:pPr>
        <w:numPr>
          <w:ilvl w:val="1"/>
          <w:numId w:val="12"/>
        </w:numPr>
        <w:spacing w:after="240"/>
        <w:rPr>
          <w:lang w:val="es-AR"/>
        </w:rPr>
      </w:pPr>
      <w:r w:rsidRPr="00341AEF">
        <w:rPr>
          <w:lang w:val="es-AR"/>
        </w:rPr>
        <w:t>La Casa de la Reconquista.</w:t>
      </w:r>
    </w:p>
    <w:p w:rsidR="00341AEF" w:rsidRPr="00341AEF" w:rsidRDefault="00341AEF" w:rsidP="00341AEF">
      <w:pPr>
        <w:numPr>
          <w:ilvl w:val="0"/>
          <w:numId w:val="6"/>
        </w:numPr>
        <w:spacing w:after="240"/>
        <w:rPr>
          <w:lang w:val="es-AR"/>
        </w:rPr>
      </w:pPr>
      <w:r w:rsidRPr="00341AEF">
        <w:rPr>
          <w:lang w:val="es-AR"/>
        </w:rPr>
        <w:t>Indique, detallando con el máximo nivel de desagregación, el presupuesto asignado los últimos cinco (5) años al Parque Avellaneda y los sectores que lo componen, los cuales se encuentran enumerados en el punto b. de la presente resolución, conforme lo que establece el artículo 9 inc. 1 de la ley 1.153. En caso de no tener desagregado por sector, informe por el máximo nivel de desagregación posible.</w:t>
      </w:r>
    </w:p>
    <w:p w:rsidR="00341AEF" w:rsidRPr="00341AEF" w:rsidRDefault="00341AEF" w:rsidP="00341AEF">
      <w:pPr>
        <w:numPr>
          <w:ilvl w:val="0"/>
          <w:numId w:val="6"/>
        </w:numPr>
        <w:spacing w:after="240"/>
        <w:rPr>
          <w:lang w:val="es-AR"/>
        </w:rPr>
      </w:pPr>
      <w:r w:rsidRPr="00341AEF">
        <w:rPr>
          <w:lang w:val="es-AR"/>
        </w:rPr>
        <w:t>Detalle a su vez el monto ejecutado de cada partida al momento de contestación del presente pedido de informes. En caso que se atienda a un sector con distintas partidas presupuestarias, detalle por cada sector cuál es la tarea que se desarrolla y con qué partida presupuestaria se atiende dicha tarea. </w:t>
      </w:r>
    </w:p>
    <w:p w:rsidR="00341AEF" w:rsidRPr="00341AEF" w:rsidRDefault="00341AEF" w:rsidP="00341AEF">
      <w:pPr>
        <w:numPr>
          <w:ilvl w:val="0"/>
          <w:numId w:val="6"/>
        </w:numPr>
        <w:spacing w:after="240"/>
        <w:rPr>
          <w:lang w:val="es-AR"/>
        </w:rPr>
      </w:pPr>
      <w:r w:rsidRPr="00341AEF">
        <w:rPr>
          <w:lang w:val="es-AR"/>
        </w:rPr>
        <w:t>Acompañe inventario de los recursos físicos a los que alude el art. 9 inc. b de la ley 1153.</w:t>
      </w:r>
    </w:p>
    <w:p w:rsidR="00341AEF" w:rsidRPr="00341AEF" w:rsidRDefault="00341AEF" w:rsidP="00341AEF">
      <w:pPr>
        <w:numPr>
          <w:ilvl w:val="0"/>
          <w:numId w:val="6"/>
        </w:numPr>
        <w:spacing w:after="240"/>
        <w:rPr>
          <w:lang w:val="es-AR"/>
        </w:rPr>
      </w:pPr>
      <w:r w:rsidRPr="00341AEF">
        <w:rPr>
          <w:lang w:val="es-AR"/>
        </w:rPr>
        <w:t>Indique cuál es el presupuesto destinado para el Plan Operativo del ejercicio 2021 elaborado por la Mesa de Trabajo y Consenso (MTC) identificando los recursos económicos, físicos y humanos que cada área gubernamental involucrada asigna al Plan de Manejo, conforme el artículo 9º de la Ley Nº1153, acompañe la documentación correspondiente.</w:t>
      </w:r>
    </w:p>
    <w:p w:rsidR="00341AEF" w:rsidRPr="00341AEF" w:rsidRDefault="00341AEF" w:rsidP="00341AEF">
      <w:pPr>
        <w:numPr>
          <w:ilvl w:val="0"/>
          <w:numId w:val="6"/>
        </w:numPr>
        <w:spacing w:after="240"/>
        <w:rPr>
          <w:lang w:val="es-AR"/>
        </w:rPr>
      </w:pPr>
      <w:r w:rsidRPr="00341AEF">
        <w:rPr>
          <w:lang w:val="es-AR"/>
        </w:rPr>
        <w:t xml:space="preserve">Indique la cantidad de personal administrativo designado por el GCBA para la gestión del Parque. Detalle a qué sector </w:t>
      </w:r>
      <w:r>
        <w:rPr>
          <w:lang w:val="es-AR"/>
        </w:rPr>
        <w:t xml:space="preserve">de los mencionados en el punto 2 </w:t>
      </w:r>
      <w:r w:rsidRPr="00341AEF">
        <w:rPr>
          <w:lang w:val="es-AR"/>
        </w:rPr>
        <w:t>del presente están asignados y la situación de revista en cada caso.</w:t>
      </w:r>
    </w:p>
    <w:p w:rsidR="00341AEF" w:rsidRPr="00341AEF" w:rsidRDefault="00341AEF" w:rsidP="00341AEF">
      <w:pPr>
        <w:numPr>
          <w:ilvl w:val="0"/>
          <w:numId w:val="6"/>
        </w:numPr>
        <w:spacing w:after="240"/>
        <w:rPr>
          <w:lang w:val="es-AR"/>
        </w:rPr>
      </w:pPr>
      <w:r w:rsidRPr="00341AEF">
        <w:rPr>
          <w:lang w:val="es-AR"/>
        </w:rPr>
        <w:lastRenderedPageBreak/>
        <w:t>Detalle a su vez cualquier contratación de locación de servicio que se encuentre vigente o haya tenido vigencia durante los años 2020 y 2021, acompañando copia del expediente de contratación, y en especial la copia del contrato suscripto.</w:t>
      </w:r>
    </w:p>
    <w:p w:rsidR="00341AEF" w:rsidRPr="00341AEF" w:rsidRDefault="00341AEF" w:rsidP="00341AEF">
      <w:pPr>
        <w:numPr>
          <w:ilvl w:val="0"/>
          <w:numId w:val="6"/>
        </w:numPr>
        <w:spacing w:after="240"/>
        <w:rPr>
          <w:lang w:val="es-AR"/>
        </w:rPr>
      </w:pPr>
      <w:r w:rsidRPr="00341AEF">
        <w:rPr>
          <w:lang w:val="es-AR"/>
        </w:rPr>
        <w:t>Acompañe los convenios que se hayan celebrado desde el año 2010 en adelante entre el GCBA y  personas humanas o jurídicas de cualquier índole cuyo objeto sea desarrollar algún tipo de tareas cuyo ámbito territorial de aplicación implique directa o indirectamente al Parque Avellaneda.</w:t>
      </w:r>
    </w:p>
    <w:p w:rsidR="00341AEF" w:rsidRPr="00341AEF" w:rsidRDefault="00341AEF" w:rsidP="00341AEF">
      <w:pPr>
        <w:numPr>
          <w:ilvl w:val="0"/>
          <w:numId w:val="6"/>
        </w:numPr>
        <w:spacing w:after="240"/>
        <w:rPr>
          <w:lang w:val="es-AR"/>
        </w:rPr>
      </w:pPr>
      <w:r w:rsidRPr="00341AEF">
        <w:rPr>
          <w:lang w:val="es-AR"/>
        </w:rPr>
        <w:t>Respecto al “Expreso Alegría” del Parque Avellaneda:</w:t>
      </w:r>
    </w:p>
    <w:p w:rsidR="00341AEF" w:rsidRPr="00341AEF" w:rsidRDefault="00341AEF" w:rsidP="00341AEF">
      <w:pPr>
        <w:numPr>
          <w:ilvl w:val="1"/>
          <w:numId w:val="14"/>
        </w:numPr>
        <w:spacing w:after="240"/>
        <w:rPr>
          <w:lang w:val="es-AR"/>
        </w:rPr>
      </w:pPr>
      <w:r w:rsidRPr="00341AEF">
        <w:rPr>
          <w:lang w:val="es-AR"/>
        </w:rPr>
        <w:t>Indique área/s de gobierno responsable del mantenimiento y funcionamiento del “Expreso Alegría”.</w:t>
      </w:r>
    </w:p>
    <w:p w:rsidR="00341AEF" w:rsidRPr="00341AEF" w:rsidRDefault="00341AEF" w:rsidP="00341AEF">
      <w:pPr>
        <w:numPr>
          <w:ilvl w:val="1"/>
          <w:numId w:val="14"/>
        </w:numPr>
        <w:spacing w:after="240"/>
        <w:rPr>
          <w:lang w:val="es-AR"/>
        </w:rPr>
      </w:pPr>
      <w:r w:rsidRPr="00341AEF">
        <w:rPr>
          <w:lang w:val="es-AR"/>
        </w:rPr>
        <w:t>Indique presupuesto asignado al mantenimiento y funcionamiento del “Expreso Alegría”.</w:t>
      </w:r>
    </w:p>
    <w:p w:rsidR="00341AEF" w:rsidRPr="00341AEF" w:rsidRDefault="00341AEF" w:rsidP="00341AEF">
      <w:pPr>
        <w:numPr>
          <w:ilvl w:val="1"/>
          <w:numId w:val="14"/>
        </w:numPr>
        <w:spacing w:after="240"/>
        <w:rPr>
          <w:lang w:val="es-AR"/>
        </w:rPr>
      </w:pPr>
      <w:r w:rsidRPr="00341AEF">
        <w:rPr>
          <w:lang w:val="es-AR"/>
        </w:rPr>
        <w:t>Indique estado actual del convenio de padrinazgo que AUSA asumió respecto del “Expreso Alegría”.</w:t>
      </w:r>
    </w:p>
    <w:p w:rsidR="00341AEF" w:rsidRPr="00341AEF" w:rsidRDefault="00341AEF" w:rsidP="00341AEF">
      <w:pPr>
        <w:numPr>
          <w:ilvl w:val="1"/>
          <w:numId w:val="14"/>
        </w:numPr>
        <w:spacing w:after="240"/>
        <w:rPr>
          <w:lang w:val="es-AR"/>
        </w:rPr>
      </w:pPr>
      <w:r w:rsidRPr="00341AEF">
        <w:rPr>
          <w:lang w:val="es-AR"/>
        </w:rPr>
        <w:t>Indique inversión que realiza AUSA para el mantenimiento y funcionamiento integral del “Expreso Alegría”.  </w:t>
      </w:r>
    </w:p>
    <w:p w:rsidR="00341AEF" w:rsidRPr="00341AEF" w:rsidRDefault="00341AEF" w:rsidP="00341AEF">
      <w:pPr>
        <w:spacing w:after="240"/>
        <w:rPr>
          <w:lang w:val="es-AR"/>
        </w:rPr>
      </w:pPr>
    </w:p>
    <w:p w:rsidR="00341AEF" w:rsidRPr="00341AEF" w:rsidRDefault="00341AEF" w:rsidP="00341AEF">
      <w:pPr>
        <w:spacing w:after="240"/>
        <w:rPr>
          <w:lang w:val="es-AR"/>
        </w:rPr>
      </w:pPr>
      <w:r w:rsidRPr="00341AEF">
        <w:rPr>
          <w:b/>
          <w:bCs/>
          <w:lang w:val="es-AR"/>
        </w:rPr>
        <w:t>Artículo 2º</w:t>
      </w:r>
      <w:r w:rsidRPr="00341AEF">
        <w:rPr>
          <w:lang w:val="es-AR"/>
        </w:rPr>
        <w:t>.- Comuniquese</w:t>
      </w:r>
    </w:p>
    <w:p w:rsidR="00341AEF" w:rsidRPr="00341AEF" w:rsidRDefault="00341AEF" w:rsidP="00341AEF">
      <w:pPr>
        <w:rPr>
          <w:lang w:val="es-AR"/>
        </w:rPr>
      </w:pPr>
      <w:r w:rsidRPr="00341AEF">
        <w:rPr>
          <w:lang w:val="es-AR"/>
        </w:rPr>
        <w:t> </w:t>
      </w: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Default="00341AEF" w:rsidP="00341AEF">
      <w:pPr>
        <w:rPr>
          <w:lang w:val="es-AR"/>
        </w:rPr>
      </w:pPr>
    </w:p>
    <w:p w:rsidR="00341AEF" w:rsidRPr="00341AEF" w:rsidRDefault="00341AEF" w:rsidP="00341AEF">
      <w:pPr>
        <w:rPr>
          <w:lang w:val="es-AR"/>
        </w:rPr>
      </w:pPr>
    </w:p>
    <w:p w:rsidR="00341AEF" w:rsidRPr="00341AEF" w:rsidRDefault="00341AEF" w:rsidP="00341AEF">
      <w:pPr>
        <w:jc w:val="center"/>
        <w:rPr>
          <w:lang w:val="es-AR"/>
        </w:rPr>
      </w:pPr>
      <w:r w:rsidRPr="00341AEF">
        <w:rPr>
          <w:b/>
          <w:bCs/>
          <w:lang w:val="es-AR"/>
        </w:rPr>
        <w:t>FUNDAMENTOS</w:t>
      </w:r>
    </w:p>
    <w:p w:rsidR="00341AEF" w:rsidRPr="00341AEF" w:rsidRDefault="00341AEF" w:rsidP="00341AEF">
      <w:pPr>
        <w:rPr>
          <w:lang w:val="es-AR"/>
        </w:rPr>
      </w:pPr>
    </w:p>
    <w:p w:rsidR="00341AEF" w:rsidRPr="00341AEF" w:rsidRDefault="00341AEF" w:rsidP="00341AEF">
      <w:pPr>
        <w:rPr>
          <w:lang w:val="es-AR"/>
        </w:rPr>
      </w:pPr>
      <w:r w:rsidRPr="00341AEF">
        <w:rPr>
          <w:lang w:val="es-AR"/>
        </w:rPr>
        <w:t>Señor Presidente:</w:t>
      </w:r>
    </w:p>
    <w:p w:rsidR="00341AEF" w:rsidRPr="00341AEF" w:rsidRDefault="00341AEF" w:rsidP="00341AEF">
      <w:pPr>
        <w:rPr>
          <w:lang w:val="es-AR"/>
        </w:rPr>
      </w:pPr>
    </w:p>
    <w:p w:rsidR="00341AEF" w:rsidRDefault="00341AEF" w:rsidP="00341AEF">
      <w:pPr>
        <w:rPr>
          <w:lang w:val="es-AR"/>
        </w:rPr>
      </w:pPr>
      <w:r w:rsidRPr="00341AEF">
        <w:rPr>
          <w:lang w:val="es-AR"/>
        </w:rPr>
        <w:t>El Parque Avellaneda es un área de especial configuración y complejidad; espacio verde y público, patrimonio natural y cultural con edificios significativos y sectores con distintas funciones a cargo de diversas áreas del Gobierno de la Ciudad, siendo necesario para su preservación y desarrollo un tratamiento unificado e integral.</w:t>
      </w:r>
    </w:p>
    <w:p w:rsidR="00341AEF" w:rsidRPr="00341AEF" w:rsidRDefault="00341AEF" w:rsidP="00341AEF">
      <w:pPr>
        <w:rPr>
          <w:lang w:val="es-AR"/>
        </w:rPr>
      </w:pPr>
    </w:p>
    <w:p w:rsidR="00341AEF" w:rsidRDefault="00341AEF" w:rsidP="00341AEF">
      <w:pPr>
        <w:rPr>
          <w:i/>
          <w:iCs/>
          <w:lang w:val="es-AR"/>
        </w:rPr>
      </w:pPr>
      <w:r w:rsidRPr="00341AEF">
        <w:rPr>
          <w:lang w:val="es-AR"/>
        </w:rPr>
        <w:t xml:space="preserve">Luego de diferentes procesos de transformación y de recuperación del parque por parte de los vecinos/as, se sanciona en el año 2003 la Ley N° 1.153 que establece que el mismo es una </w:t>
      </w:r>
      <w:r w:rsidRPr="00341AEF">
        <w:rPr>
          <w:i/>
          <w:iCs/>
          <w:lang w:val="es-AR"/>
        </w:rPr>
        <w:t>“(...) Unidad Ambiental y de Gestión (...) conformada por un patrimonio natural, cultural y social que incluye los ámbitos físicos integrados por el espacio verde, el antiguo natatorio, la Casona de los Olivera, el Polideportivo, el Tambo, el Frigorífico, la Cremería y la Casa de la Reconquista, y se reconoce la organización social e institucional que se viene desarrollando en forma continua en dicho espacio, mediante prácticas consolidadas de gestión asociada que promocionan la participación ciudadana corresponsable en la planificación y el manejo del espacio público”</w:t>
      </w:r>
    </w:p>
    <w:p w:rsidR="00341AEF" w:rsidRPr="00341AEF" w:rsidRDefault="00341AEF" w:rsidP="00341AEF">
      <w:pPr>
        <w:rPr>
          <w:lang w:val="es-AR"/>
        </w:rPr>
      </w:pPr>
      <w:r w:rsidRPr="00341AEF">
        <w:rPr>
          <w:i/>
          <w:iCs/>
          <w:lang w:val="es-AR"/>
        </w:rPr>
        <w:t>.</w:t>
      </w:r>
    </w:p>
    <w:p w:rsidR="00341AEF" w:rsidRDefault="00341AEF" w:rsidP="00341AEF">
      <w:pPr>
        <w:rPr>
          <w:i/>
          <w:iCs/>
          <w:lang w:val="es-AR"/>
        </w:rPr>
      </w:pPr>
      <w:r w:rsidRPr="00341AEF">
        <w:rPr>
          <w:lang w:val="es-AR"/>
        </w:rPr>
        <w:t xml:space="preserve">Tal como lo establece la ley, la gestión asociada del Parque se da entre el Gobierno de la Ciudad de Buenos Aires (GCBA) y los vecinos/as en el marco de “La Mesa de Trabajo y Consenso del Parque Avellaneda (MTC)”, que es la </w:t>
      </w:r>
      <w:r w:rsidRPr="00341AEF">
        <w:rPr>
          <w:i/>
          <w:iCs/>
          <w:lang w:val="es-AR"/>
        </w:rPr>
        <w:t>“(...) instancia de participación abierta y pública "ad honorem" para la planificación-gestión, monitoreo y orientación del Plan de Manejo”</w:t>
      </w:r>
      <w:r w:rsidRPr="00341AEF">
        <w:rPr>
          <w:lang w:val="es-AR"/>
        </w:rPr>
        <w:t xml:space="preserve">. En este sentido, la Mesa está integrada por “(...) </w:t>
      </w:r>
      <w:r w:rsidRPr="00341AEF">
        <w:rPr>
          <w:i/>
          <w:iCs/>
          <w:lang w:val="es-AR"/>
        </w:rPr>
        <w:t>el administrador, representantes de las Secretarías de Medio Ambiente y Planeamiento Urbano y de Cultura, de la futura Comuna con jurisdicción en el territorio en el que se emplaza el parque y las demás áreas gubernamentales con incumbencia en las temáticas incluidas en el Plan de Manejo, y las personas, grupos y organizaciones que sean necesarias y/o expresen un interés público en la gestión del parque”.</w:t>
      </w:r>
    </w:p>
    <w:p w:rsidR="00341AEF" w:rsidRPr="00341AEF" w:rsidRDefault="00341AEF" w:rsidP="00341AEF">
      <w:pPr>
        <w:rPr>
          <w:lang w:val="es-AR"/>
        </w:rPr>
      </w:pPr>
    </w:p>
    <w:p w:rsidR="00341AEF" w:rsidRDefault="00341AEF" w:rsidP="00341AEF">
      <w:pPr>
        <w:rPr>
          <w:lang w:val="es-AR"/>
        </w:rPr>
      </w:pPr>
      <w:r w:rsidRPr="00341AEF">
        <w:rPr>
          <w:lang w:val="es-AR"/>
        </w:rPr>
        <w:t>En los últimos años la falta de mantenimiento del Parque fue generando un constante proceso de degradación del mismo que alertó a los/as vecinos/as integrantes de la MTC que, ante esta situación, comenzaron a realizar una serie de reclamos presentados al GCBA, y a la Junta Comunal que no tuvieron respuesta. Uno de los principales problemas con los que tuvo que lidiar la MTC, fue la imposibilidad de identificar la estructura de gobierno responsable de cada sector del Parque Avellaneda. De esta forma no quedaba claro a qué área responsable debía acudir la Mesa frente a las problemáticas e inquietudes que se presentaban, como por ejemplo: el deterioro de la Casona, la falta de funcionamiento del sistema de  riego, las problemáticas con el arbolado, entre otros.</w:t>
      </w:r>
    </w:p>
    <w:p w:rsidR="00341AEF" w:rsidRPr="00341AEF" w:rsidRDefault="00341AEF" w:rsidP="00341AEF">
      <w:pPr>
        <w:rPr>
          <w:lang w:val="es-AR"/>
        </w:rPr>
      </w:pPr>
      <w:r w:rsidRPr="00341AEF">
        <w:rPr>
          <w:lang w:val="es-AR"/>
        </w:rPr>
        <w:t> </w:t>
      </w:r>
    </w:p>
    <w:p w:rsidR="00341AEF" w:rsidRDefault="00341AEF" w:rsidP="00341AEF">
      <w:pPr>
        <w:rPr>
          <w:lang w:val="es-AR"/>
        </w:rPr>
      </w:pPr>
      <w:r w:rsidRPr="00341AEF">
        <w:rPr>
          <w:lang w:val="es-AR"/>
        </w:rPr>
        <w:t>La Ley 1153 en su artículo Artículo 2° dispone la ratificación “</w:t>
      </w:r>
      <w:r w:rsidRPr="00341AEF">
        <w:rPr>
          <w:i/>
          <w:iCs/>
          <w:lang w:val="es-AR"/>
        </w:rPr>
        <w:t>del Plan de Manejo del Parque Avellaneda (...) como el instrumento ordenador del área</w:t>
      </w:r>
      <w:r w:rsidRPr="00341AEF">
        <w:rPr>
          <w:lang w:val="es-AR"/>
        </w:rPr>
        <w:t>”, asimismo su artículo 9° prevé que “</w:t>
      </w:r>
      <w:r w:rsidRPr="00341AEF">
        <w:rPr>
          <w:i/>
          <w:iCs/>
          <w:lang w:val="es-AR"/>
        </w:rPr>
        <w:t>Los recursos que garantizan el Plan de Manejo son económicos, físicos y humanos</w:t>
      </w:r>
      <w:r w:rsidRPr="00341AEF">
        <w:rPr>
          <w:lang w:val="es-AR"/>
        </w:rPr>
        <w:t>” y que estos son: “</w:t>
      </w:r>
      <w:r w:rsidRPr="00341AEF">
        <w:rPr>
          <w:i/>
          <w:iCs/>
          <w:lang w:val="es-AR"/>
        </w:rPr>
        <w:t xml:space="preserve">Los recursos económicos (...) provenientes del presupuesto anual de gastos de la Ciudad y de la futura comuna”, “Los recursos físicos consistirán en la dotación de los muebles, útiles, herramientas y demás instrumentos necesarios para el normal funcionamiento del Parque” </w:t>
      </w:r>
      <w:r w:rsidRPr="00341AEF">
        <w:rPr>
          <w:lang w:val="es-AR"/>
        </w:rPr>
        <w:t>y</w:t>
      </w:r>
      <w:r w:rsidRPr="00341AEF">
        <w:rPr>
          <w:i/>
          <w:iCs/>
          <w:lang w:val="es-AR"/>
        </w:rPr>
        <w:t xml:space="preserve"> “Los recursos humanos consisten en la dotación del personal necesario que cada área involucrada deberá garantizar para el funcionamiento del Parque”</w:t>
      </w:r>
      <w:r w:rsidRPr="00341AEF">
        <w:rPr>
          <w:lang w:val="es-AR"/>
        </w:rPr>
        <w:t>. Por su parte, el artículo 10° establece que, “</w:t>
      </w:r>
      <w:r w:rsidRPr="00341AEF">
        <w:rPr>
          <w:i/>
          <w:iCs/>
          <w:lang w:val="es-AR"/>
        </w:rPr>
        <w:t>Anualmente, la MTC tratará un plan operativo y su respectivo presupuesto para el siguiente ejercicio con intervención de las áreas gubernamentales involucradas que comprometerán en dicho ámbito los recursos económicos, físicos y humanos a asignar al Plan de Manejo</w:t>
      </w:r>
      <w:r w:rsidRPr="00341AEF">
        <w:rPr>
          <w:lang w:val="es-AR"/>
        </w:rPr>
        <w:t xml:space="preserve">”. </w:t>
      </w:r>
    </w:p>
    <w:p w:rsidR="00341AEF" w:rsidRDefault="00341AEF" w:rsidP="00341AEF">
      <w:pPr>
        <w:rPr>
          <w:lang w:val="es-AR"/>
        </w:rPr>
      </w:pPr>
    </w:p>
    <w:p w:rsidR="00341AEF" w:rsidRPr="00341AEF" w:rsidRDefault="00341AEF" w:rsidP="00341AEF">
      <w:pPr>
        <w:rPr>
          <w:lang w:val="es-AR"/>
        </w:rPr>
      </w:pPr>
      <w:r w:rsidRPr="00341AEF">
        <w:rPr>
          <w:lang w:val="es-AR"/>
        </w:rPr>
        <w:t>Hasta el momento, los/as vecinos/as integrantes de la MTC no han contado con un Plan Operativo que indique en forma cierta y concreta cómo está ordenada el área, qué dependencias del gobierno intervienen en la misma y cuál es el presupuesto con el que cuenta el Parque, tal como lo establece el propio texto legal. </w:t>
      </w:r>
    </w:p>
    <w:p w:rsidR="00341AEF" w:rsidRDefault="00341AEF" w:rsidP="00341AEF">
      <w:pPr>
        <w:rPr>
          <w:lang w:val="es-AR"/>
        </w:rPr>
      </w:pPr>
      <w:r w:rsidRPr="00341AEF">
        <w:rPr>
          <w:lang w:val="es-AR"/>
        </w:rPr>
        <w:lastRenderedPageBreak/>
        <w:t>Frente a esta situación fueron los/as vecinos/as y trabajadores integrantes de la MTC, con ayuda de otros/as vecinos/as y sin la participación de los funcionarios responsables del GCBA, quienes asumieron la responsabilidad de mantener en condiciones las áreas del Parque que se encuentran bajo la gestión asociada de la Mesa. </w:t>
      </w:r>
    </w:p>
    <w:p w:rsidR="00341AEF" w:rsidRPr="00341AEF" w:rsidRDefault="00341AEF" w:rsidP="00341AEF">
      <w:pPr>
        <w:rPr>
          <w:lang w:val="es-AR"/>
        </w:rPr>
      </w:pPr>
    </w:p>
    <w:p w:rsidR="00341AEF" w:rsidRDefault="00341AEF" w:rsidP="00341AEF">
      <w:pPr>
        <w:rPr>
          <w:lang w:val="es-AR"/>
        </w:rPr>
      </w:pPr>
      <w:r w:rsidRPr="00341AEF">
        <w:rPr>
          <w:lang w:val="es-AR"/>
        </w:rPr>
        <w:t>El Parque Avellaneda, como cualquier espacio público verde de calidad al que aspiramos, proporciona diversos servicios ambientales y sociales que deben poder disfrutar todos/as los/as porteños/as. La situación actual del Parque y la ausencia de claridad en cuanto a qué área recurrir para solucionar sus problemáticas, hace que el mismo no ofrezca al cien por ciento todos los beneficios que tiene para brindar, tanto a la comunidad como a la mejora del ambiente urbano y su calidad. </w:t>
      </w:r>
    </w:p>
    <w:p w:rsidR="00341AEF" w:rsidRPr="00341AEF" w:rsidRDefault="00341AEF" w:rsidP="00341AEF">
      <w:pPr>
        <w:rPr>
          <w:lang w:val="es-AR"/>
        </w:rPr>
      </w:pPr>
    </w:p>
    <w:p w:rsidR="00341AEF" w:rsidRDefault="00341AEF" w:rsidP="00341AEF">
      <w:pPr>
        <w:rPr>
          <w:lang w:val="es-AR"/>
        </w:rPr>
      </w:pPr>
      <w:r w:rsidRPr="00341AEF">
        <w:rPr>
          <w:lang w:val="es-AR"/>
        </w:rPr>
        <w:t>Por este motivo, y acompañando el reclamo de la MTC del Parque Avellaneda, presentamos el presente pedido de informes, a los fines de esclarecer qué áreas de gobierno están a cargo de la gestión de los sectores del Parque, cuál es su presupuesto, en qué estado está el Plan Operativo y los demás puntos contenidos en esta Resolución. Está información ayudará a los/as vecinos/as, trabajadores y administrador de la MTC a solucionar las problemáticas existentes del Parque con la mayor celeridad posible, permitiendo el disfrute del mismo para todos/as los/as porteños/as. </w:t>
      </w:r>
    </w:p>
    <w:p w:rsidR="00341AEF" w:rsidRPr="00341AEF" w:rsidRDefault="00341AEF" w:rsidP="00341AEF">
      <w:pPr>
        <w:rPr>
          <w:lang w:val="es-AR"/>
        </w:rPr>
      </w:pPr>
    </w:p>
    <w:p w:rsidR="00341AEF" w:rsidRPr="00341AEF" w:rsidRDefault="00341AEF" w:rsidP="00341AEF">
      <w:pPr>
        <w:rPr>
          <w:lang w:val="es-AR"/>
        </w:rPr>
      </w:pPr>
      <w:r w:rsidRPr="00341AEF">
        <w:rPr>
          <w:lang w:val="es-AR"/>
        </w:rPr>
        <w:t>Por todo lo expuesto pido al Cuerpo acompañe el proyecto de Resolución</w:t>
      </w:r>
    </w:p>
    <w:p w:rsidR="00AF6352" w:rsidRPr="00081FFF" w:rsidRDefault="00AF6352" w:rsidP="00081FFF">
      <w:pPr>
        <w:rPr>
          <w:lang w:val="es-MX"/>
        </w:rPr>
      </w:pPr>
      <w:bookmarkStart w:id="0" w:name="_GoBack"/>
      <w:bookmarkEnd w:id="0"/>
    </w:p>
    <w:sectPr w:rsidR="00AF6352" w:rsidRPr="00081FFF"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1091" w:rsidRDefault="007A1091">
      <w:r>
        <w:separator/>
      </w:r>
    </w:p>
  </w:endnote>
  <w:endnote w:type="continuationSeparator" w:id="0">
    <w:p w:rsidR="007A1091" w:rsidRDefault="007A1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B177FE" w:rsidRDefault="00601A75">
    <w:pPr>
      <w:pStyle w:val="Footer"/>
      <w:rPr>
        <w:color w:val="333333"/>
        <w:sz w:val="20"/>
      </w:rPr>
    </w:pPr>
  </w:p>
  <w:p w:rsidR="00601A75" w:rsidRPr="00B177FE" w:rsidRDefault="00601A75">
    <w:pPr>
      <w:pStyle w:val="Footer"/>
      <w:rPr>
        <w:color w:val="333333"/>
        <w:sz w:val="20"/>
      </w:rPr>
    </w:pPr>
    <w:r w:rsidRPr="00B177FE">
      <w:rPr>
        <w:color w:val="333333"/>
        <w:sz w:val="20"/>
      </w:rPr>
      <w:t xml:space="preserve">Último cambio: </w:t>
    </w:r>
    <w:r w:rsidRPr="00B177FE">
      <w:rPr>
        <w:color w:val="333333"/>
        <w:sz w:val="20"/>
      </w:rPr>
      <w:fldChar w:fldCharType="begin"/>
    </w:r>
    <w:r w:rsidRPr="00B177FE">
      <w:rPr>
        <w:color w:val="333333"/>
        <w:sz w:val="20"/>
      </w:rPr>
      <w:instrText xml:space="preserve"> SAVEDATE  \* MERGEFORMAT </w:instrText>
    </w:r>
    <w:r w:rsidRPr="00B177FE">
      <w:rPr>
        <w:color w:val="333333"/>
        <w:sz w:val="20"/>
      </w:rPr>
      <w:fldChar w:fldCharType="separate"/>
    </w:r>
    <w:r w:rsidR="005A7D68">
      <w:rPr>
        <w:noProof/>
        <w:color w:val="333333"/>
        <w:sz w:val="20"/>
      </w:rPr>
      <w:t>18/3/22 15:27:00</w:t>
    </w:r>
    <w:r w:rsidRPr="00B177FE">
      <w:rPr>
        <w:color w:val="333333"/>
        <w:sz w:val="20"/>
      </w:rPr>
      <w:fldChar w:fldCharType="end"/>
    </w:r>
    <w:r w:rsidRPr="00B177FE">
      <w:rPr>
        <w:color w:val="333333"/>
        <w:sz w:val="20"/>
      </w:rPr>
      <w:t xml:space="preserve">  -  Cantidad de caracteres: </w:t>
    </w:r>
    <w:r w:rsidRPr="00B177FE">
      <w:rPr>
        <w:color w:val="333333"/>
        <w:sz w:val="20"/>
      </w:rPr>
      <w:fldChar w:fldCharType="begin"/>
    </w:r>
    <w:r w:rsidRPr="00B177FE">
      <w:rPr>
        <w:color w:val="333333"/>
        <w:sz w:val="20"/>
      </w:rPr>
      <w:instrText xml:space="preserve"> NUMCHARS  \* MERGEFORMAT </w:instrText>
    </w:r>
    <w:r w:rsidRPr="00B177FE">
      <w:rPr>
        <w:color w:val="333333"/>
        <w:sz w:val="20"/>
      </w:rPr>
      <w:fldChar w:fldCharType="separate"/>
    </w:r>
    <w:r w:rsidR="005A7D68">
      <w:rPr>
        <w:noProof/>
        <w:color w:val="333333"/>
        <w:sz w:val="20"/>
      </w:rPr>
      <w:t>7511</w:t>
    </w:r>
    <w:r w:rsidRPr="00B177FE">
      <w:rPr>
        <w:color w:val="333333"/>
        <w:sz w:val="20"/>
      </w:rPr>
      <w:fldChar w:fldCharType="end"/>
    </w:r>
    <w:r w:rsidRPr="00B177FE">
      <w:rPr>
        <w:color w:val="333333"/>
        <w:sz w:val="20"/>
      </w:rPr>
      <w:t xml:space="preserve"> - Cantidad de palabras: </w:t>
    </w:r>
    <w:r w:rsidRPr="00B177FE">
      <w:rPr>
        <w:color w:val="333333"/>
        <w:sz w:val="20"/>
      </w:rPr>
      <w:fldChar w:fldCharType="begin"/>
    </w:r>
    <w:r w:rsidRPr="00B177FE">
      <w:rPr>
        <w:color w:val="333333"/>
        <w:sz w:val="20"/>
      </w:rPr>
      <w:instrText xml:space="preserve"> NUMWORDS  \* MERGEFORMAT </w:instrText>
    </w:r>
    <w:r w:rsidRPr="00B177FE">
      <w:rPr>
        <w:color w:val="333333"/>
        <w:sz w:val="20"/>
      </w:rPr>
      <w:fldChar w:fldCharType="separate"/>
    </w:r>
    <w:r w:rsidR="005A7D68">
      <w:rPr>
        <w:noProof/>
        <w:color w:val="333333"/>
        <w:sz w:val="20"/>
      </w:rPr>
      <w:t>1433</w:t>
    </w:r>
    <w:r w:rsidRPr="00B177FE">
      <w:rPr>
        <w:color w:val="333333"/>
        <w:sz w:val="20"/>
      </w:rPr>
      <w:fldChar w:fldCharType="end"/>
    </w:r>
  </w:p>
  <w:p w:rsidR="00601A75" w:rsidRPr="00B177FE" w:rsidRDefault="00601A75" w:rsidP="00B05649">
    <w:pPr>
      <w:pStyle w:val="Footer"/>
      <w:tabs>
        <w:tab w:val="left" w:pos="3565"/>
      </w:tabs>
      <w:rPr>
        <w:rStyle w:val="PageNumber"/>
        <w:color w:val="333333"/>
      </w:rPr>
    </w:pPr>
    <w:r w:rsidRPr="00B177FE">
      <w:rPr>
        <w:color w:val="333333"/>
        <w:sz w:val="20"/>
      </w:rPr>
      <w:tab/>
      <w:t>Pág.</w:t>
    </w:r>
    <w:r w:rsidRPr="00B177FE">
      <w:rPr>
        <w:color w:val="333333"/>
      </w:rPr>
      <w:t xml:space="preserve"> </w:t>
    </w:r>
    <w:r w:rsidRPr="00B177FE">
      <w:rPr>
        <w:rStyle w:val="PageNumber"/>
        <w:color w:val="333333"/>
      </w:rPr>
      <w:fldChar w:fldCharType="begin"/>
    </w:r>
    <w:r w:rsidRPr="00B177FE">
      <w:rPr>
        <w:rStyle w:val="PageNumber"/>
        <w:color w:val="333333"/>
      </w:rPr>
      <w:instrText xml:space="preserve"> PAGE </w:instrText>
    </w:r>
    <w:r w:rsidRPr="00B177FE">
      <w:rPr>
        <w:rStyle w:val="PageNumber"/>
        <w:color w:val="333333"/>
      </w:rPr>
      <w:fldChar w:fldCharType="separate"/>
    </w:r>
    <w:r w:rsidR="00341AEF">
      <w:rPr>
        <w:rStyle w:val="PageNumber"/>
        <w:noProof/>
        <w:color w:val="333333"/>
      </w:rPr>
      <w:t>4</w:t>
    </w:r>
    <w:r w:rsidRPr="00B177FE">
      <w:rPr>
        <w:rStyle w:val="PageNumber"/>
        <w:color w:val="333333"/>
      </w:rPr>
      <w:fldChar w:fldCharType="end"/>
    </w:r>
    <w:r w:rsidRPr="00B177FE">
      <w:rPr>
        <w:rStyle w:val="PageNumber"/>
        <w:color w:val="333333"/>
      </w:rPr>
      <w:t>/</w:t>
    </w:r>
    <w:r w:rsidRPr="00B177FE">
      <w:rPr>
        <w:rStyle w:val="PageNumber"/>
        <w:color w:val="333333"/>
      </w:rPr>
      <w:fldChar w:fldCharType="begin"/>
    </w:r>
    <w:r w:rsidRPr="00B177FE">
      <w:rPr>
        <w:rStyle w:val="PageNumber"/>
        <w:color w:val="333333"/>
      </w:rPr>
      <w:instrText xml:space="preserve"> NUMPAGES  \* MERGEFORMAT </w:instrText>
    </w:r>
    <w:r w:rsidRPr="00B177FE">
      <w:rPr>
        <w:rStyle w:val="PageNumber"/>
        <w:color w:val="333333"/>
      </w:rPr>
      <w:fldChar w:fldCharType="separate"/>
    </w:r>
    <w:r w:rsidR="00341AEF">
      <w:rPr>
        <w:rStyle w:val="PageNumber"/>
        <w:noProof/>
        <w:color w:val="333333"/>
      </w:rPr>
      <w:t>4</w:t>
    </w:r>
    <w:r w:rsidRPr="00B177FE">
      <w:rPr>
        <w:rStyle w:val="PageNumber"/>
        <w:color w:val="333333"/>
      </w:rPr>
      <w:fldChar w:fldCharType="end"/>
    </w:r>
    <w:r w:rsidRPr="00B177FE">
      <w:rPr>
        <w:rStyle w:val="PageNumber"/>
        <w:color w:val="333333"/>
      </w:rPr>
      <w:t xml:space="preserve"> </w:t>
    </w:r>
  </w:p>
  <w:p w:rsidR="00601A75" w:rsidRPr="00B177FE"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1091" w:rsidRDefault="007A1091">
      <w:r>
        <w:separator/>
      </w:r>
    </w:p>
  </w:footnote>
  <w:footnote w:type="continuationSeparator" w:id="0">
    <w:p w:rsidR="007A1091" w:rsidRDefault="007A1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A4DF4" w:rsidP="0033168A">
    <w:pPr>
      <w:pStyle w:val="Header"/>
      <w:ind w:left="-2410" w:firstLine="850"/>
      <w:jc w:val="center"/>
      <w:rPr>
        <w:i/>
        <w:sz w:val="18"/>
        <w:szCs w:val="18"/>
      </w:rPr>
    </w:pPr>
    <w:r w:rsidRPr="005A3AA1">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jpg" style="width:148.5pt;height:27pt;visibility:visible;mso-width-percent:0;mso-height-percent:0;mso-width-percent:0;mso-height-percent:0">
          <v:imagedata r:id="rId1" o:title="logo1"/>
        </v:shape>
      </w:pict>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86FF1"/>
    <w:multiLevelType w:val="hybridMultilevel"/>
    <w:tmpl w:val="7C52F33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6DF4E5E"/>
    <w:multiLevelType w:val="multilevel"/>
    <w:tmpl w:val="3E76C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3971E3"/>
    <w:multiLevelType w:val="multilevel"/>
    <w:tmpl w:val="C234E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D458A"/>
    <w:multiLevelType w:val="multilevel"/>
    <w:tmpl w:val="063A53D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642C77"/>
    <w:multiLevelType w:val="hybridMultilevel"/>
    <w:tmpl w:val="FFE0DA2A"/>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3CB4FF6"/>
    <w:multiLevelType w:val="multilevel"/>
    <w:tmpl w:val="9E22E4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272495"/>
    <w:multiLevelType w:val="multilevel"/>
    <w:tmpl w:val="3E76C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E078C7"/>
    <w:multiLevelType w:val="multilevel"/>
    <w:tmpl w:val="84B8FF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8011F4"/>
    <w:multiLevelType w:val="hybridMultilevel"/>
    <w:tmpl w:val="F37C5F6C"/>
    <w:lvl w:ilvl="0" w:tplc="0D04C938">
      <w:start w:val="4"/>
      <w:numFmt w:val="lowerLetter"/>
      <w:lvlText w:val="%1."/>
      <w:lvlJc w:val="left"/>
      <w:pPr>
        <w:tabs>
          <w:tab w:val="num" w:pos="720"/>
        </w:tabs>
        <w:ind w:left="720" w:hanging="360"/>
      </w:pPr>
    </w:lvl>
    <w:lvl w:ilvl="1" w:tplc="1AF8F090" w:tentative="1">
      <w:start w:val="1"/>
      <w:numFmt w:val="decimal"/>
      <w:lvlText w:val="%2."/>
      <w:lvlJc w:val="left"/>
      <w:pPr>
        <w:tabs>
          <w:tab w:val="num" w:pos="1440"/>
        </w:tabs>
        <w:ind w:left="1440" w:hanging="360"/>
      </w:pPr>
    </w:lvl>
    <w:lvl w:ilvl="2" w:tplc="44A833D2" w:tentative="1">
      <w:start w:val="1"/>
      <w:numFmt w:val="decimal"/>
      <w:lvlText w:val="%3."/>
      <w:lvlJc w:val="left"/>
      <w:pPr>
        <w:tabs>
          <w:tab w:val="num" w:pos="2160"/>
        </w:tabs>
        <w:ind w:left="2160" w:hanging="360"/>
      </w:pPr>
    </w:lvl>
    <w:lvl w:ilvl="3" w:tplc="4F0876A0" w:tentative="1">
      <w:start w:val="1"/>
      <w:numFmt w:val="decimal"/>
      <w:lvlText w:val="%4."/>
      <w:lvlJc w:val="left"/>
      <w:pPr>
        <w:tabs>
          <w:tab w:val="num" w:pos="2880"/>
        </w:tabs>
        <w:ind w:left="2880" w:hanging="360"/>
      </w:pPr>
    </w:lvl>
    <w:lvl w:ilvl="4" w:tplc="3342D78C" w:tentative="1">
      <w:start w:val="1"/>
      <w:numFmt w:val="decimal"/>
      <w:lvlText w:val="%5."/>
      <w:lvlJc w:val="left"/>
      <w:pPr>
        <w:tabs>
          <w:tab w:val="num" w:pos="3600"/>
        </w:tabs>
        <w:ind w:left="3600" w:hanging="360"/>
      </w:pPr>
    </w:lvl>
    <w:lvl w:ilvl="5" w:tplc="C2769CEE" w:tentative="1">
      <w:start w:val="1"/>
      <w:numFmt w:val="decimal"/>
      <w:lvlText w:val="%6."/>
      <w:lvlJc w:val="left"/>
      <w:pPr>
        <w:tabs>
          <w:tab w:val="num" w:pos="4320"/>
        </w:tabs>
        <w:ind w:left="4320" w:hanging="360"/>
      </w:pPr>
    </w:lvl>
    <w:lvl w:ilvl="6" w:tplc="FB9C255A" w:tentative="1">
      <w:start w:val="1"/>
      <w:numFmt w:val="decimal"/>
      <w:lvlText w:val="%7."/>
      <w:lvlJc w:val="left"/>
      <w:pPr>
        <w:tabs>
          <w:tab w:val="num" w:pos="5040"/>
        </w:tabs>
        <w:ind w:left="5040" w:hanging="360"/>
      </w:pPr>
    </w:lvl>
    <w:lvl w:ilvl="7" w:tplc="606C9F4A" w:tentative="1">
      <w:start w:val="1"/>
      <w:numFmt w:val="decimal"/>
      <w:lvlText w:val="%8."/>
      <w:lvlJc w:val="left"/>
      <w:pPr>
        <w:tabs>
          <w:tab w:val="num" w:pos="5760"/>
        </w:tabs>
        <w:ind w:left="5760" w:hanging="360"/>
      </w:pPr>
    </w:lvl>
    <w:lvl w:ilvl="8" w:tplc="6592EAD8" w:tentative="1">
      <w:start w:val="1"/>
      <w:numFmt w:val="decimal"/>
      <w:lvlText w:val="%9."/>
      <w:lvlJc w:val="left"/>
      <w:pPr>
        <w:tabs>
          <w:tab w:val="num" w:pos="6480"/>
        </w:tabs>
        <w:ind w:left="6480" w:hanging="360"/>
      </w:pPr>
    </w:lvl>
  </w:abstractNum>
  <w:abstractNum w:abstractNumId="9" w15:restartNumberingAfterBreak="0">
    <w:nsid w:val="60BF3C6A"/>
    <w:multiLevelType w:val="hybridMultilevel"/>
    <w:tmpl w:val="FA789020"/>
    <w:lvl w:ilvl="0" w:tplc="A8EE2C80">
      <w:start w:val="3"/>
      <w:numFmt w:val="lowerLetter"/>
      <w:lvlText w:val="%1."/>
      <w:lvlJc w:val="left"/>
      <w:pPr>
        <w:tabs>
          <w:tab w:val="num" w:pos="720"/>
        </w:tabs>
        <w:ind w:left="720" w:hanging="360"/>
      </w:pPr>
    </w:lvl>
    <w:lvl w:ilvl="1" w:tplc="AF386438" w:tentative="1">
      <w:start w:val="1"/>
      <w:numFmt w:val="decimal"/>
      <w:lvlText w:val="%2."/>
      <w:lvlJc w:val="left"/>
      <w:pPr>
        <w:tabs>
          <w:tab w:val="num" w:pos="1440"/>
        </w:tabs>
        <w:ind w:left="1440" w:hanging="360"/>
      </w:pPr>
    </w:lvl>
    <w:lvl w:ilvl="2" w:tplc="368AC842" w:tentative="1">
      <w:start w:val="1"/>
      <w:numFmt w:val="decimal"/>
      <w:lvlText w:val="%3."/>
      <w:lvlJc w:val="left"/>
      <w:pPr>
        <w:tabs>
          <w:tab w:val="num" w:pos="2160"/>
        </w:tabs>
        <w:ind w:left="2160" w:hanging="360"/>
      </w:pPr>
    </w:lvl>
    <w:lvl w:ilvl="3" w:tplc="3934D96E" w:tentative="1">
      <w:start w:val="1"/>
      <w:numFmt w:val="decimal"/>
      <w:lvlText w:val="%4."/>
      <w:lvlJc w:val="left"/>
      <w:pPr>
        <w:tabs>
          <w:tab w:val="num" w:pos="2880"/>
        </w:tabs>
        <w:ind w:left="2880" w:hanging="360"/>
      </w:pPr>
    </w:lvl>
    <w:lvl w:ilvl="4" w:tplc="00F86A3A" w:tentative="1">
      <w:start w:val="1"/>
      <w:numFmt w:val="decimal"/>
      <w:lvlText w:val="%5."/>
      <w:lvlJc w:val="left"/>
      <w:pPr>
        <w:tabs>
          <w:tab w:val="num" w:pos="3600"/>
        </w:tabs>
        <w:ind w:left="3600" w:hanging="360"/>
      </w:pPr>
    </w:lvl>
    <w:lvl w:ilvl="5" w:tplc="8C32C1E4" w:tentative="1">
      <w:start w:val="1"/>
      <w:numFmt w:val="decimal"/>
      <w:lvlText w:val="%6."/>
      <w:lvlJc w:val="left"/>
      <w:pPr>
        <w:tabs>
          <w:tab w:val="num" w:pos="4320"/>
        </w:tabs>
        <w:ind w:left="4320" w:hanging="360"/>
      </w:pPr>
    </w:lvl>
    <w:lvl w:ilvl="6" w:tplc="F3408880" w:tentative="1">
      <w:start w:val="1"/>
      <w:numFmt w:val="decimal"/>
      <w:lvlText w:val="%7."/>
      <w:lvlJc w:val="left"/>
      <w:pPr>
        <w:tabs>
          <w:tab w:val="num" w:pos="5040"/>
        </w:tabs>
        <w:ind w:left="5040" w:hanging="360"/>
      </w:pPr>
    </w:lvl>
    <w:lvl w:ilvl="7" w:tplc="FAE2423A" w:tentative="1">
      <w:start w:val="1"/>
      <w:numFmt w:val="decimal"/>
      <w:lvlText w:val="%8."/>
      <w:lvlJc w:val="left"/>
      <w:pPr>
        <w:tabs>
          <w:tab w:val="num" w:pos="5760"/>
        </w:tabs>
        <w:ind w:left="5760" w:hanging="360"/>
      </w:pPr>
    </w:lvl>
    <w:lvl w:ilvl="8" w:tplc="40CA0F00" w:tentative="1">
      <w:start w:val="1"/>
      <w:numFmt w:val="decimal"/>
      <w:lvlText w:val="%9."/>
      <w:lvlJc w:val="left"/>
      <w:pPr>
        <w:tabs>
          <w:tab w:val="num" w:pos="6480"/>
        </w:tabs>
        <w:ind w:left="6480" w:hanging="360"/>
      </w:pPr>
    </w:lvl>
  </w:abstractNum>
  <w:abstractNum w:abstractNumId="10" w15:restartNumberingAfterBreak="0">
    <w:nsid w:val="6B18482F"/>
    <w:multiLevelType w:val="multilevel"/>
    <w:tmpl w:val="C9C05D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CB14F5"/>
    <w:multiLevelType w:val="multilevel"/>
    <w:tmpl w:val="3E76C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966962"/>
    <w:multiLevelType w:val="multilevel"/>
    <w:tmpl w:val="3E76C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D7F4060"/>
    <w:multiLevelType w:val="multilevel"/>
    <w:tmpl w:val="D98EB8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2"/>
    <w:lvlOverride w:ilvl="0">
      <w:lvl w:ilvl="0">
        <w:numFmt w:val="lowerLetter"/>
        <w:lvlText w:val="%1."/>
        <w:lvlJc w:val="left"/>
      </w:lvl>
    </w:lvlOverride>
  </w:num>
  <w:num w:numId="3">
    <w:abstractNumId w:val="5"/>
    <w:lvlOverride w:ilvl="0">
      <w:lvl w:ilvl="0">
        <w:numFmt w:val="decimal"/>
        <w:lvlText w:val="%1."/>
        <w:lvlJc w:val="left"/>
      </w:lvl>
    </w:lvlOverride>
  </w:num>
  <w:num w:numId="4">
    <w:abstractNumId w:val="0"/>
  </w:num>
  <w:num w:numId="5">
    <w:abstractNumId w:val="13"/>
  </w:num>
  <w:num w:numId="6">
    <w:abstractNumId w:val="11"/>
    <w:lvlOverride w:ilvl="0">
      <w:lvl w:ilvl="0">
        <w:start w:val="1"/>
        <w:numFmt w:val="decimal"/>
        <w:lvlText w:val="%1."/>
        <w:lvlJc w:val="left"/>
        <w:pPr>
          <w:tabs>
            <w:tab w:val="num" w:pos="720"/>
          </w:tabs>
          <w:ind w:left="720" w:hanging="360"/>
        </w:pPr>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7">
    <w:abstractNumId w:val="6"/>
    <w:lvlOverride w:ilvl="0">
      <w:lvl w:ilvl="0">
        <w:numFmt w:val="lowerRoman"/>
        <w:lvlText w:val="%1."/>
        <w:lvlJc w:val="right"/>
      </w:lvl>
    </w:lvlOverride>
  </w:num>
  <w:num w:numId="8">
    <w:abstractNumId w:val="9"/>
  </w:num>
  <w:num w:numId="9">
    <w:abstractNumId w:val="8"/>
  </w:num>
  <w:num w:numId="10">
    <w:abstractNumId w:val="1"/>
    <w:lvlOverride w:ilvl="0">
      <w:lvl w:ilvl="0">
        <w:numFmt w:val="lowerLetter"/>
        <w:lvlText w:val="%1."/>
        <w:lvlJc w:val="left"/>
      </w:lvl>
    </w:lvlOverride>
  </w:num>
  <w:num w:numId="11">
    <w:abstractNumId w:val="3"/>
  </w:num>
  <w:num w:numId="12">
    <w:abstractNumId w:val="10"/>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1091"/>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C274B"/>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144E"/>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1AEF"/>
    <w:rsid w:val="0035681D"/>
    <w:rsid w:val="003A7311"/>
    <w:rsid w:val="003B471C"/>
    <w:rsid w:val="003D10AB"/>
    <w:rsid w:val="003D4000"/>
    <w:rsid w:val="003F1EFD"/>
    <w:rsid w:val="003F4249"/>
    <w:rsid w:val="00401C75"/>
    <w:rsid w:val="0040761B"/>
    <w:rsid w:val="00422C3F"/>
    <w:rsid w:val="004354AC"/>
    <w:rsid w:val="00446E1A"/>
    <w:rsid w:val="004847CA"/>
    <w:rsid w:val="004A5413"/>
    <w:rsid w:val="004B7714"/>
    <w:rsid w:val="004D2D62"/>
    <w:rsid w:val="004D30D5"/>
    <w:rsid w:val="004D438B"/>
    <w:rsid w:val="004E235F"/>
    <w:rsid w:val="004E3F83"/>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A7D68"/>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A1091"/>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4DF4"/>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8462ABC-CA3A-C347-994C-44B9DBAD4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4"/>
      <w:lang w:val="es-ES_tradnl" w:eastAsia="es-E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redaccin">
    <w:name w:val="redacción"/>
    <w:basedOn w:val="Normal"/>
    <w:next w:val="Normal"/>
    <w:pPr>
      <w:ind w:left="3686"/>
    </w:pPr>
  </w:style>
  <w:style w:type="paragraph" w:styleId="Header">
    <w:name w:val="header"/>
    <w:basedOn w:val="Normal"/>
    <w:link w:val="HeaderChar"/>
    <w:uiPriority w:val="99"/>
    <w:pPr>
      <w:tabs>
        <w:tab w:val="center" w:pos="4419"/>
        <w:tab w:val="right" w:pos="8838"/>
      </w:tabs>
    </w:pPr>
  </w:style>
  <w:style w:type="paragraph" w:styleId="Footer">
    <w:name w:val="footer"/>
    <w:basedOn w:val="Normal"/>
    <w:pPr>
      <w:tabs>
        <w:tab w:val="center" w:pos="4419"/>
        <w:tab w:val="right" w:pos="8838"/>
      </w:tabs>
    </w:pPr>
  </w:style>
  <w:style w:type="character" w:styleId="PageNumber">
    <w:name w:val="page number"/>
    <w:basedOn w:val="DefaultParagraphFont"/>
  </w:style>
  <w:style w:type="character" w:customStyle="1" w:styleId="HeaderChar">
    <w:name w:val="Header Char"/>
    <w:basedOn w:val="DefaultParagraphFont"/>
    <w:link w:val="Header"/>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936228">
      <w:bodyDiv w:val="1"/>
      <w:marLeft w:val="0"/>
      <w:marRight w:val="0"/>
      <w:marTop w:val="0"/>
      <w:marBottom w:val="0"/>
      <w:divBdr>
        <w:top w:val="none" w:sz="0" w:space="0" w:color="auto"/>
        <w:left w:val="none" w:sz="0" w:space="0" w:color="auto"/>
        <w:bottom w:val="none" w:sz="0" w:space="0" w:color="auto"/>
        <w:right w:val="none" w:sz="0" w:space="0" w:color="auto"/>
      </w:divBdr>
    </w:div>
    <w:div w:id="862865934">
      <w:bodyDiv w:val="1"/>
      <w:marLeft w:val="0"/>
      <w:marRight w:val="0"/>
      <w:marTop w:val="0"/>
      <w:marBottom w:val="0"/>
      <w:divBdr>
        <w:top w:val="none" w:sz="0" w:space="0" w:color="auto"/>
        <w:left w:val="none" w:sz="0" w:space="0" w:color="auto"/>
        <w:bottom w:val="none" w:sz="0" w:space="0" w:color="auto"/>
        <w:right w:val="none" w:sz="0" w:space="0" w:color="auto"/>
      </w:divBdr>
    </w:div>
    <w:div w:id="1016226300">
      <w:bodyDiv w:val="1"/>
      <w:marLeft w:val="0"/>
      <w:marRight w:val="0"/>
      <w:marTop w:val="0"/>
      <w:marBottom w:val="0"/>
      <w:divBdr>
        <w:top w:val="none" w:sz="0" w:space="0" w:color="auto"/>
        <w:left w:val="none" w:sz="0" w:space="0" w:color="auto"/>
        <w:bottom w:val="none" w:sz="0" w:space="0" w:color="auto"/>
        <w:right w:val="none" w:sz="0" w:space="0" w:color="auto"/>
      </w:divBdr>
    </w:div>
    <w:div w:id="176738778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ownloads/PI%20SECTORES%20PARQUE%20AVELLANE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2A97F1-2DDB-B54F-A2A2-B7E67B766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 SECTORES PARQUE AVELLANEDA.dot</Template>
  <TotalTime>5</TotalTime>
  <Pages>4</Pages>
  <Words>1433</Words>
  <Characters>7511</Characters>
  <Application>Microsoft Office Word</Application>
  <DocSecurity>0</DocSecurity>
  <Lines>172</Lines>
  <Paragraphs>38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Microsoft Office User</dc:creator>
  <cp:keywords/>
  <cp:lastModifiedBy>Microsoft Office User</cp:lastModifiedBy>
  <cp:revision>2</cp:revision>
  <cp:lastPrinted>1601-01-01T00:00:00Z</cp:lastPrinted>
  <dcterms:created xsi:type="dcterms:W3CDTF">2022-03-18T18:22:00Z</dcterms:created>
  <dcterms:modified xsi:type="dcterms:W3CDTF">2022-03-18T18:27:00Z</dcterms:modified>
</cp:coreProperties>
</file>