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6CA" w:rsidRDefault="007F5EE3" w:rsidP="007F5EE3">
      <w:pPr>
        <w:pStyle w:val="Body"/>
        <w:spacing w:line="360" w:lineRule="auto"/>
        <w:ind w:left="708" w:hanging="708"/>
        <w:rPr>
          <w:rStyle w:val="Nmerodepgina"/>
        </w:rPr>
      </w:pPr>
      <w:r>
        <w:tab/>
      </w:r>
      <w:r w:rsidR="00F836CA">
        <w:t>La Legislatura de la Ciudad Autónoma de Buenos Aires conmemora el décimo aniversario de la sanción de la Ley de Identidad de Género Nº 26.743 ocurrida el 9 de mayo del año 2012.</w:t>
      </w:r>
    </w:p>
    <w:p w:rsidR="00F836CA" w:rsidRDefault="00F836CA" w:rsidP="00F836CA">
      <w:pPr>
        <w:pStyle w:val="Body"/>
        <w:spacing w:line="360" w:lineRule="auto"/>
        <w:rPr>
          <w:rStyle w:val="Nmerodepgina"/>
        </w:rPr>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p>
    <w:p w:rsidR="00F836CA" w:rsidRDefault="00F836CA" w:rsidP="00F836CA">
      <w:pPr>
        <w:pStyle w:val="Body"/>
        <w:spacing w:line="360" w:lineRule="auto"/>
      </w:pPr>
      <w:r>
        <w:tab/>
      </w:r>
    </w:p>
    <w:p w:rsidR="00F836CA" w:rsidRPr="00F836CA" w:rsidRDefault="00F836CA" w:rsidP="00F836CA">
      <w:pPr>
        <w:rPr>
          <w:rFonts w:cs="Arial Unicode MS"/>
          <w:color w:val="000000"/>
          <w:u w:color="000000"/>
          <w:lang w:val="es-ES_tradnl" w:eastAsia="es-AR"/>
        </w:rPr>
      </w:pPr>
      <w:r w:rsidRPr="007F5EE3">
        <w:rPr>
          <w:lang w:val="es-AR"/>
        </w:rPr>
        <w:br w:type="page"/>
      </w:r>
    </w:p>
    <w:p w:rsidR="00F836CA" w:rsidRDefault="00F836CA" w:rsidP="00F836CA">
      <w:pPr>
        <w:pStyle w:val="Body"/>
        <w:spacing w:line="360" w:lineRule="auto"/>
      </w:pPr>
      <w:r>
        <w:lastRenderedPageBreak/>
        <w:t>Señor Presidente,</w:t>
      </w:r>
    </w:p>
    <w:p w:rsidR="00F836CA" w:rsidRDefault="00F836CA" w:rsidP="00F836CA">
      <w:pPr>
        <w:pStyle w:val="Body"/>
        <w:spacing w:line="360" w:lineRule="auto"/>
      </w:pPr>
    </w:p>
    <w:p w:rsidR="00F836CA" w:rsidRDefault="00F836CA" w:rsidP="00F836CA">
      <w:pPr>
        <w:pStyle w:val="Body"/>
        <w:spacing w:line="360" w:lineRule="auto"/>
      </w:pPr>
      <w:r>
        <w:tab/>
        <w:t xml:space="preserve">El día 9 de mayo del año 2012 nuestra sociedad y nuestro país cambiaron para siempre. Con 55 votos afirmativos, 0 negativos y 1 abstención, el Senado Nacional sancionó la Ley Nº 26.743 que permitiría a las personas registrarse en su DNI con su nombre, foto y género autopercibido. </w:t>
      </w:r>
    </w:p>
    <w:p w:rsidR="00F836CA" w:rsidRDefault="00F836CA" w:rsidP="00F836CA">
      <w:pPr>
        <w:pStyle w:val="Body"/>
        <w:spacing w:line="360" w:lineRule="auto"/>
      </w:pPr>
    </w:p>
    <w:p w:rsidR="00F836CA" w:rsidRDefault="00F836CA" w:rsidP="00F836CA">
      <w:pPr>
        <w:pStyle w:val="Body"/>
        <w:spacing w:line="360" w:lineRule="auto"/>
      </w:pPr>
      <w:r>
        <w:tab/>
        <w:t>Asimismo, la consagrada Ley de Identidad de Género, también garantizaría el acceso a los tratamientos de salud a toda persona que requiera modificar su cuerpo de acuerdo con el género autopercibido, derogando en su texto el controvertido inciso 4º del artículo 19 de la Ley Nº17.132 la cual establece las reglas para el ejercicio de la medicina. En dicho inciso derogado, se establecía la prohibición de “</w:t>
      </w:r>
      <w:r>
        <w:rPr>
          <w:i/>
          <w:iCs/>
        </w:rPr>
        <w:t>llevar a cabo intervenciones quirúrgicas que modifiquen el sexo del enfermo, salvo que sean efectuadas con posterioridad a una autorización judicial</w:t>
      </w:r>
      <w:r>
        <w:rPr>
          <w:b/>
          <w:bCs/>
        </w:rPr>
        <w:t>”.</w:t>
      </w:r>
    </w:p>
    <w:p w:rsidR="00F836CA" w:rsidRDefault="00F836CA" w:rsidP="00F836CA">
      <w:pPr>
        <w:pStyle w:val="Body"/>
        <w:spacing w:line="360" w:lineRule="auto"/>
      </w:pPr>
    </w:p>
    <w:p w:rsidR="00F836CA" w:rsidRDefault="00F836CA" w:rsidP="00F836CA">
      <w:pPr>
        <w:pStyle w:val="Body"/>
        <w:spacing w:line="360" w:lineRule="auto"/>
        <w:rPr>
          <w:shd w:val="clear" w:color="auto" w:fill="FFFFFF"/>
        </w:rPr>
      </w:pPr>
      <w:r>
        <w:tab/>
        <w:t>Durante años distintas organizaciones sociales que luchan por los derechos de la comunidad LGBTIQ+ presentaron distintos proyectos de ley para lograr garantizar el derecho a la identidad de género. Por otro lado, también desde la misma sociedad surgieron casos en los que se presentaron, previa sanción de la ley, amparos judiciales que tuvieron un desenlace positivo el cual sirvió como antecedente para impulsar la normativa en el parlamento nacional. El primero de ellos fue un amparo presentado por una joven oriunda de la ciudad de Mar del Plata, el cual obtuvo una sentencia favorable el día 10 de abril del año 2008 por el juez Pedro F. Hooft del Juzgado en lo Criminal y Correccional Nº 4 de Mar del Plata</w:t>
      </w:r>
      <w:r>
        <w:rPr>
          <w:vertAlign w:val="superscript"/>
        </w:rPr>
        <w:footnoteReference w:id="2"/>
      </w:r>
      <w:r>
        <w:t xml:space="preserve">. </w:t>
      </w:r>
    </w:p>
    <w:p w:rsidR="00F836CA" w:rsidRDefault="00F836CA" w:rsidP="00F836CA">
      <w:pPr>
        <w:pStyle w:val="Body"/>
        <w:spacing w:line="360" w:lineRule="auto"/>
      </w:pPr>
    </w:p>
    <w:p w:rsidR="00F836CA" w:rsidRDefault="00F836CA" w:rsidP="00F836CA">
      <w:pPr>
        <w:pStyle w:val="Body"/>
        <w:spacing w:line="360" w:lineRule="auto"/>
      </w:pPr>
      <w:r>
        <w:tab/>
        <w:t xml:space="preserve">Tal como hace mención Eva Giberti, reconocida por su carrera profesional dedicada a desarrollar teoría y difusión sobre la mujer y el género, en su libro sobre el fallo anteriormente mencionado:  </w:t>
      </w:r>
    </w:p>
    <w:p w:rsidR="00F836CA" w:rsidRDefault="00F836CA" w:rsidP="00F836CA">
      <w:pPr>
        <w:pStyle w:val="Body"/>
        <w:spacing w:line="360" w:lineRule="auto"/>
        <w:rPr>
          <w:i/>
          <w:iCs/>
        </w:rPr>
      </w:pPr>
      <w:r>
        <w:tab/>
      </w:r>
      <w:r>
        <w:rPr>
          <w:i/>
          <w:iCs/>
        </w:rPr>
        <w:t xml:space="preserve">En la fundamentación parcial del caso el juez sostuvo: </w:t>
      </w:r>
    </w:p>
    <w:p w:rsidR="00F836CA" w:rsidRDefault="00F836CA" w:rsidP="00F836CA">
      <w:pPr>
        <w:pStyle w:val="Body"/>
        <w:spacing w:line="360" w:lineRule="auto"/>
        <w:rPr>
          <w:i/>
          <w:iCs/>
        </w:rPr>
      </w:pPr>
      <w:r>
        <w:rPr>
          <w:i/>
          <w:iCs/>
        </w:rPr>
        <w:tab/>
        <w:t xml:space="preserve">“Asigno especial relevancia al espontáneo y vívido relato que P (la persona que se presenta solicitando reasignación de sexo) hiciera de su historia biográfica, a cuyos aspectos esenciales me refiriera en el considerando II de la presente sentencia. Dentro de la valiosa información aportada, resulta significativo destacar lo referido a la edad -entre los 4 ó 5 años- en que comenzó a percibir la discordancia entre su sexo legal "masculino" y sus vivencias, inclinaciones y emociones propias de una persona del sexo </w:t>
      </w:r>
      <w:r>
        <w:rPr>
          <w:i/>
          <w:iCs/>
        </w:rPr>
        <w:lastRenderedPageBreak/>
        <w:t>opuesto, apreciación que coincide por lo tanto con las consideraciones efectuadas en los distintos dictámenes periciales incorporados a la causa."</w:t>
      </w:r>
      <w:r>
        <w:rPr>
          <w:i/>
          <w:iCs/>
          <w:vertAlign w:val="superscript"/>
        </w:rPr>
        <w:footnoteReference w:id="3"/>
      </w:r>
    </w:p>
    <w:p w:rsidR="00F836CA" w:rsidRDefault="00F836CA" w:rsidP="00F836CA">
      <w:pPr>
        <w:pStyle w:val="Body"/>
        <w:spacing w:line="360" w:lineRule="auto"/>
      </w:pPr>
    </w:p>
    <w:p w:rsidR="00F836CA" w:rsidRDefault="00F836CA" w:rsidP="00F836CA">
      <w:pPr>
        <w:pStyle w:val="Body"/>
        <w:spacing w:line="360" w:lineRule="auto"/>
      </w:pPr>
      <w:r>
        <w:tab/>
      </w:r>
      <w:r w:rsidR="007F5EE3">
        <w:t>El camino personal que atraviesan</w:t>
      </w:r>
      <w:r>
        <w:t xml:space="preserve"> las personas de la comunidad </w:t>
      </w:r>
      <w:r w:rsidR="007F5EE3">
        <w:t>travesti-trans</w:t>
      </w:r>
      <w:r>
        <w:t>, en la cual existe una diferencia entre el género asignado al nacer y el género deseado o autopercibido, rompe totalmente con el entendimiento binario tanto del ordenamiento jurídico como del social el cual demandaba, previo a la sanción de la ley de Identidad de Género, que una persona fuera inscripta en su DNI como hombre o mujer, negando así la existencia de personas que habitan, viven y tienen derechos elementales que deben ser respetados tanto por el Estado como por la sociedad toda.</w:t>
      </w:r>
    </w:p>
    <w:p w:rsidR="00F836CA" w:rsidRDefault="00F836CA" w:rsidP="00F836CA">
      <w:pPr>
        <w:pStyle w:val="Body"/>
        <w:spacing w:line="360" w:lineRule="auto"/>
      </w:pPr>
    </w:p>
    <w:p w:rsidR="00F836CA" w:rsidRDefault="00F836CA" w:rsidP="00F836CA">
      <w:pPr>
        <w:pStyle w:val="Body"/>
        <w:spacing w:line="360" w:lineRule="auto"/>
      </w:pPr>
      <w:r>
        <w:tab/>
      </w:r>
      <w:r>
        <w:rPr>
          <w:i/>
          <w:iCs/>
        </w:rPr>
        <w:t xml:space="preserve">"Esto ha sido un enorme paso para las personas trans para poder acceder a todos los derechos como cualquier ciudadano y ciudadana en Argentina” </w:t>
      </w:r>
      <w:r>
        <w:t>Expresó posterior a la sanción de la ley Marcela Romero, Presidenta de ATTA (Asociación de Travestis, Transexuales, Transgéneros de Argentina)</w:t>
      </w:r>
    </w:p>
    <w:p w:rsidR="00F836CA" w:rsidRDefault="00F836CA" w:rsidP="00F836CA">
      <w:pPr>
        <w:pStyle w:val="Body"/>
        <w:spacing w:line="360" w:lineRule="auto"/>
      </w:pPr>
    </w:p>
    <w:p w:rsidR="007F5EE3" w:rsidRDefault="00F836CA" w:rsidP="00F836CA">
      <w:pPr>
        <w:pStyle w:val="Body"/>
        <w:spacing w:line="360" w:lineRule="auto"/>
      </w:pPr>
      <w:r>
        <w:tab/>
        <w:t xml:space="preserve">Otra cuestión de importancia a destacar sobre el texto normativo sancionado en el año 2012 es lo referido a las </w:t>
      </w:r>
      <w:r w:rsidR="007F5EE3">
        <w:t xml:space="preserve">niñas, niños y adolecentes en </w:t>
      </w:r>
      <w:r>
        <w:t xml:space="preserve">su artículo Nº5. En dicho artículo la ley tiene en cuenta que la auto-percepción del género es algo que se comienza a formar en los primeros años de vida de la persona, y es por ello que </w:t>
      </w:r>
      <w:r w:rsidR="007F5EE3">
        <w:t>las niñas, niños y adolecentes</w:t>
      </w:r>
      <w:r>
        <w:t xml:space="preserve"> tienen una voz </w:t>
      </w:r>
      <w:r w:rsidR="007F5EE3">
        <w:t xml:space="preserve">y es su derecho </w:t>
      </w:r>
      <w:r>
        <w:t xml:space="preserve">que </w:t>
      </w:r>
      <w:r w:rsidR="007F5EE3">
        <w:t xml:space="preserve">sea escuchada </w:t>
      </w:r>
      <w:r>
        <w:t xml:space="preserve">tanto por sus representantes legales como por el Estado. </w:t>
      </w:r>
    </w:p>
    <w:p w:rsidR="007F5EE3" w:rsidRDefault="007F5EE3" w:rsidP="00F836CA">
      <w:pPr>
        <w:pStyle w:val="Body"/>
        <w:spacing w:line="360" w:lineRule="auto"/>
      </w:pPr>
    </w:p>
    <w:p w:rsidR="00F836CA" w:rsidRDefault="007F5EE3" w:rsidP="00F836CA">
      <w:pPr>
        <w:pStyle w:val="Body"/>
        <w:spacing w:line="360" w:lineRule="auto"/>
      </w:pPr>
      <w:r>
        <w:tab/>
      </w:r>
      <w:r w:rsidR="00F836CA">
        <w:t>Esto también está en consonancia con el principio de capacidad prog</w:t>
      </w:r>
      <w:r>
        <w:t>resiva e interés superior de las niñas, niños y adolecentes</w:t>
      </w:r>
      <w:r w:rsidR="00F836CA">
        <w:t xml:space="preserve">, de acuerdo con lo que estipula la Convención sobre los Derechos del Niño del año 1989, la cual cuenta con jerarquía constitucional otorgada por la Constitución Nacional, y la Ley Nº 26.061 de Protección Integral de los Derechos de Niñas, Niños y Adolescentes. Dicho artículo también resguarda a la persona del caso en el que uno de sus representantes se niegue a brindar el consentimiento, dándole parte a la justicia para que intervenga y resuelva dicha situación teniendo siempre en cuenta los derechos consagrados, mencionados anteriormente.  </w:t>
      </w:r>
    </w:p>
    <w:p w:rsidR="00F836CA" w:rsidRDefault="00F836CA" w:rsidP="00F836CA">
      <w:pPr>
        <w:pStyle w:val="Body"/>
        <w:spacing w:line="360" w:lineRule="auto"/>
      </w:pPr>
    </w:p>
    <w:p w:rsidR="00F836CA" w:rsidRDefault="00F836CA" w:rsidP="00F836CA">
      <w:pPr>
        <w:pStyle w:val="Body"/>
        <w:spacing w:line="360" w:lineRule="auto"/>
      </w:pPr>
      <w:r>
        <w:tab/>
        <w:t xml:space="preserve">Para finalizar, es importante mencionar y entender que la ley de identidad de género es un gran paso, pero no el único, necesario para erradicar las desigualdades históricas que tiene el colectivo Travesti-Trans. </w:t>
      </w:r>
    </w:p>
    <w:p w:rsidR="00F836CA" w:rsidRDefault="00F836CA" w:rsidP="00F836CA">
      <w:pPr>
        <w:pStyle w:val="Body"/>
        <w:spacing w:line="360" w:lineRule="auto"/>
      </w:pPr>
    </w:p>
    <w:p w:rsidR="00F836CA" w:rsidRDefault="00F836CA" w:rsidP="00F836CA">
      <w:pPr>
        <w:pStyle w:val="Body"/>
        <w:spacing w:line="360" w:lineRule="auto"/>
      </w:pPr>
      <w:r>
        <w:tab/>
        <w:t>En nuestro país, la comunidad travesti, transexual y transgénero se encuentra entre las poblaciones que más dificultad encuentra en el acceso a la salud, educación y trabajo. La realidad cotidiana de esta población está atravesada por un contexto social que la persigue, la excluye y vulnera. Un contexto social que históricamente y de manera sistemática, sesgó e impidió que las personas de esta comunidad puedan acceder a los mismos derechos y oportunidades que el resto de la población; situación que llevó a que al día de hoy, muchas de ellas vivan en circunstancias de extrema pobreza, privadas de los más básicos derechos económicos, políticos, sociales y culturales, en muchos casos, siendo expulsadas y/o discriminadas en el ámbito familiar y escolar. Tal es la exclusión que esta comunidad ha sufrido que, según los relevamientos sociales, estas personas tienen una esperanza de vida de entre 35 y 40 años</w:t>
      </w:r>
      <w:r>
        <w:footnoteReference w:id="4"/>
      </w:r>
      <w:r>
        <w:t>, mientras que la del resto de la población ronda entre los 75 y 80 años.</w:t>
      </w:r>
    </w:p>
    <w:p w:rsidR="00F836CA" w:rsidRDefault="00F836CA" w:rsidP="00F836CA">
      <w:pPr>
        <w:pStyle w:val="Body"/>
        <w:spacing w:line="360" w:lineRule="auto"/>
      </w:pPr>
    </w:p>
    <w:p w:rsidR="00F836CA" w:rsidRDefault="00F836CA" w:rsidP="00F836CA">
      <w:pPr>
        <w:pStyle w:val="Body"/>
        <w:spacing w:line="360" w:lineRule="auto"/>
      </w:pPr>
      <w:r>
        <w:tab/>
        <w:t>Por todo lo expuesto, solicitamos el inmediato tratamiento y aprobación del presente proyecto de declaración.</w:t>
      </w:r>
    </w:p>
    <w:p w:rsidR="005E3C49" w:rsidRPr="007F5EE3" w:rsidRDefault="005E3C49" w:rsidP="00E5658D">
      <w:pPr>
        <w:rPr>
          <w:lang w:val="es-AR"/>
        </w:rPr>
      </w:pPr>
    </w:p>
    <w:sectPr w:rsidR="005E3C49" w:rsidRPr="007F5EE3" w:rsidSect="005E3C49">
      <w:headerReference w:type="even" r:id="rId7"/>
      <w:headerReference w:type="default" r:id="rId8"/>
      <w:footerReference w:type="even" r:id="rId9"/>
      <w:footerReference w:type="default" r:id="rId10"/>
      <w:headerReference w:type="first" r:id="rId11"/>
      <w:footerReference w:type="first" r:id="rId12"/>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09B" w:rsidRDefault="00EF409B">
      <w:r>
        <w:separator/>
      </w:r>
    </w:p>
  </w:endnote>
  <w:endnote w:type="continuationSeparator" w:id="1">
    <w:p w:rsidR="00EF409B" w:rsidRDefault="00EF40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58D" w:rsidRDefault="00E5658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1" w:name="Proyecto"/>
    <w:bookmarkEnd w:id="1"/>
  </w:p>
  <w:p w:rsidR="00601A75" w:rsidRPr="007F5EE3" w:rsidRDefault="00601A75">
    <w:pPr>
      <w:pStyle w:val="Piedepgina"/>
      <w:rPr>
        <w:color w:val="333333"/>
        <w:sz w:val="20"/>
        <w:lang w:val="es-AR"/>
      </w:rPr>
    </w:pPr>
    <w:r w:rsidRPr="007F5EE3">
      <w:rPr>
        <w:color w:val="333333"/>
        <w:sz w:val="20"/>
        <w:lang w:val="es-AR"/>
      </w:rPr>
      <w:t xml:space="preserve">Último cambio: </w:t>
    </w:r>
    <w:fldSimple w:instr=" SAVEDATE  \* MERGEFORMAT ">
      <w:r w:rsidR="00972ACB" w:rsidRPr="00972ACB">
        <w:rPr>
          <w:noProof/>
          <w:color w:val="333333"/>
          <w:sz w:val="20"/>
        </w:rPr>
        <w:t>17/03/2022 11:07:00</w:t>
      </w:r>
      <w:r w:rsidR="00972ACB">
        <w:rPr>
          <w:noProof/>
        </w:rPr>
        <w:t xml:space="preserve"> a.m.</w:t>
      </w:r>
    </w:fldSimple>
    <w:r w:rsidRPr="007F5EE3">
      <w:rPr>
        <w:color w:val="333333"/>
        <w:sz w:val="20"/>
        <w:lang w:val="es-AR"/>
      </w:rPr>
      <w:t xml:space="preserve">  -  Cantidad de caracteres: </w:t>
    </w:r>
    <w:fldSimple w:instr=" NUMCHARS  \* MERGEFORMAT ">
      <w:r w:rsidR="00972ACB" w:rsidRPr="00972ACB">
        <w:rPr>
          <w:noProof/>
          <w:color w:val="333333"/>
          <w:sz w:val="20"/>
          <w:lang w:val="es-AR"/>
        </w:rPr>
        <w:t>5002</w:t>
      </w:r>
    </w:fldSimple>
    <w:r w:rsidRPr="007F5EE3">
      <w:rPr>
        <w:color w:val="333333"/>
        <w:sz w:val="20"/>
        <w:lang w:val="es-AR"/>
      </w:rPr>
      <w:t xml:space="preserve"> - Cantidad de palabras: </w:t>
    </w:r>
    <w:fldSimple w:instr=" NUMWORDS  \* MERGEFORMAT ">
      <w:r w:rsidR="00972ACB" w:rsidRPr="00972ACB">
        <w:rPr>
          <w:noProof/>
          <w:color w:val="333333"/>
          <w:sz w:val="20"/>
          <w:lang w:val="es-AR"/>
        </w:rPr>
        <w:t>977</w:t>
      </w:r>
    </w:fldSimple>
  </w:p>
  <w:p w:rsidR="00601A75" w:rsidRPr="001C19C4" w:rsidRDefault="00601A75" w:rsidP="00B05649">
    <w:pPr>
      <w:pStyle w:val="Piedepgina"/>
      <w:tabs>
        <w:tab w:val="left" w:pos="3565"/>
      </w:tabs>
      <w:rPr>
        <w:rStyle w:val="Nmerodepgina"/>
        <w:color w:val="333333"/>
      </w:rPr>
    </w:pPr>
    <w:r w:rsidRPr="007F5EE3">
      <w:rPr>
        <w:color w:val="333333"/>
        <w:sz w:val="20"/>
        <w:lang w:val="es-AR"/>
      </w:rPr>
      <w:tab/>
    </w:r>
    <w:r w:rsidRPr="001C19C4">
      <w:rPr>
        <w:color w:val="333333"/>
        <w:sz w:val="20"/>
      </w:rPr>
      <w:t>Pág.</w:t>
    </w:r>
    <w:r w:rsidR="00A57EBF" w:rsidRPr="001C19C4">
      <w:rPr>
        <w:rStyle w:val="Nmerodepgina"/>
        <w:color w:val="333333"/>
      </w:rPr>
      <w:fldChar w:fldCharType="begin"/>
    </w:r>
    <w:r w:rsidRPr="001C19C4">
      <w:rPr>
        <w:rStyle w:val="Nmerodepgina"/>
        <w:color w:val="333333"/>
      </w:rPr>
      <w:instrText xml:space="preserve"> PAGE </w:instrText>
    </w:r>
    <w:r w:rsidR="00A57EBF" w:rsidRPr="001C19C4">
      <w:rPr>
        <w:rStyle w:val="Nmerodepgina"/>
        <w:color w:val="333333"/>
      </w:rPr>
      <w:fldChar w:fldCharType="separate"/>
    </w:r>
    <w:r w:rsidR="00972ACB">
      <w:rPr>
        <w:rStyle w:val="Nmerodepgina"/>
        <w:noProof/>
        <w:color w:val="333333"/>
      </w:rPr>
      <w:t>1</w:t>
    </w:r>
    <w:r w:rsidR="00A57EBF" w:rsidRPr="001C19C4">
      <w:rPr>
        <w:rStyle w:val="Nmerodepgina"/>
        <w:color w:val="333333"/>
      </w:rPr>
      <w:fldChar w:fldCharType="end"/>
    </w:r>
    <w:r w:rsidRPr="001C19C4">
      <w:rPr>
        <w:rStyle w:val="Nmerodepgina"/>
        <w:color w:val="333333"/>
      </w:rPr>
      <w:t>/</w:t>
    </w:r>
    <w:fldSimple w:instr=" NUMPAGES  \* MERGEFORMAT ">
      <w:r w:rsidR="00972ACB" w:rsidRPr="00972ACB">
        <w:rPr>
          <w:rStyle w:val="Nmerodepgina"/>
          <w:noProof/>
          <w:color w:val="333333"/>
        </w:rPr>
        <w:t>4</w:t>
      </w:r>
    </w:fldSimple>
  </w:p>
  <w:p w:rsidR="00601A75" w:rsidRPr="001C19C4" w:rsidRDefault="00601A75">
    <w:pPr>
      <w:pStyle w:val="Piedepgina"/>
      <w:rPr>
        <w:color w:val="333333"/>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58D" w:rsidRDefault="00E5658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09B" w:rsidRDefault="00EF409B">
      <w:r>
        <w:separator/>
      </w:r>
    </w:p>
  </w:footnote>
  <w:footnote w:type="continuationSeparator" w:id="1">
    <w:p w:rsidR="00EF409B" w:rsidRDefault="00EF409B">
      <w:r>
        <w:continuationSeparator/>
      </w:r>
    </w:p>
  </w:footnote>
  <w:footnote w:id="2">
    <w:p w:rsidR="00F836CA" w:rsidRDefault="00F836CA" w:rsidP="00F836CA">
      <w:pPr>
        <w:pStyle w:val="Footnote"/>
      </w:pPr>
      <w:r>
        <w:rPr>
          <w:vertAlign w:val="superscript"/>
        </w:rPr>
        <w:footnoteRef/>
      </w:r>
      <w:r>
        <w:rPr>
          <w:rFonts w:eastAsia="Arial Unicode MS" w:cs="Arial Unicode MS"/>
          <w:lang w:val="pt-PT"/>
        </w:rPr>
        <w:t xml:space="preserve"> https://jurisprudencia.mpd.gov.ar/Jurisprudencia/PRL%20(causa%20N</w:t>
      </w:r>
      <w:r>
        <w:rPr>
          <w:rFonts w:eastAsia="Arial Unicode MS" w:cs="Arial Unicode MS"/>
        </w:rPr>
        <w:t>º%20771).pdf</w:t>
      </w:r>
    </w:p>
  </w:footnote>
  <w:footnote w:id="3">
    <w:p w:rsidR="00F836CA" w:rsidRDefault="00F836CA" w:rsidP="00F836CA">
      <w:pPr>
        <w:pStyle w:val="Footnote"/>
      </w:pPr>
      <w:r>
        <w:rPr>
          <w:vertAlign w:val="superscript"/>
        </w:rPr>
        <w:footnoteRef/>
      </w:r>
      <w:r w:rsidRPr="004D6FBD">
        <w:rPr>
          <w:rFonts w:eastAsia="Arial Unicode MS" w:cs="Arial Unicode MS"/>
        </w:rPr>
        <w:t>https://books.google.com.ar/books/about/Mujeres_y_violencias.html?id=_bapDwAAQBAJ&amp;printsec=frontcover&amp;source=kp_read_button&amp;hl=es-419&amp;redir_esc=y#v=onepage&amp;q&amp;f=false</w:t>
      </w:r>
    </w:p>
  </w:footnote>
  <w:footnote w:id="4">
    <w:p w:rsidR="00F836CA" w:rsidRDefault="00F836CA" w:rsidP="00F836CA">
      <w:pPr>
        <w:pStyle w:val="Footnote"/>
      </w:pPr>
      <w:r>
        <w:rPr>
          <w:vertAlign w:val="superscript"/>
        </w:rPr>
        <w:footnoteRef/>
      </w:r>
      <w:r w:rsidRPr="004D6FBD">
        <w:rPr>
          <w:rFonts w:eastAsia="Arial Unicode MS" w:cs="Arial Unicode MS"/>
        </w:rPr>
        <w:t xml:space="preserve"> http://attta.org.ar/wp-content/uploads/2013/07/Atenci</w:t>
      </w:r>
      <w:r>
        <w:rPr>
          <w:rFonts w:eastAsia="Arial Unicode MS" w:cs="Arial Unicode MS"/>
          <w:lang w:val="es-ES_tradnl"/>
        </w:rPr>
        <w:t>ón-de-la-Salud-Integral-de-Personas-Trans.pdf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58D" w:rsidRDefault="00E5658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AR" w:eastAsia="es-AR"/>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58D" w:rsidRDefault="00E5658D">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0"/>
    <w:footnote w:id="1"/>
  </w:footnotePr>
  <w:endnotePr>
    <w:endnote w:id="0"/>
    <w:endnote w:id="1"/>
  </w:endnotePr>
  <w:compat/>
  <w:rsids>
    <w:rsidRoot w:val="00F836CA"/>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F74CB"/>
    <w:rsid w:val="000F7E30"/>
    <w:rsid w:val="00103C6B"/>
    <w:rsid w:val="00104335"/>
    <w:rsid w:val="00127D10"/>
    <w:rsid w:val="00136787"/>
    <w:rsid w:val="00145948"/>
    <w:rsid w:val="00155C7C"/>
    <w:rsid w:val="00160A2A"/>
    <w:rsid w:val="001614A7"/>
    <w:rsid w:val="0019414B"/>
    <w:rsid w:val="001B770D"/>
    <w:rsid w:val="001C18CC"/>
    <w:rsid w:val="001C19C4"/>
    <w:rsid w:val="001D480C"/>
    <w:rsid w:val="001E0E01"/>
    <w:rsid w:val="001E5394"/>
    <w:rsid w:val="001F2924"/>
    <w:rsid w:val="001F3AFD"/>
    <w:rsid w:val="002043AB"/>
    <w:rsid w:val="00205802"/>
    <w:rsid w:val="00205DAD"/>
    <w:rsid w:val="00223436"/>
    <w:rsid w:val="002327DE"/>
    <w:rsid w:val="00246DF0"/>
    <w:rsid w:val="0026220D"/>
    <w:rsid w:val="00265972"/>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61201"/>
    <w:rsid w:val="00395843"/>
    <w:rsid w:val="003A7311"/>
    <w:rsid w:val="003B471C"/>
    <w:rsid w:val="003D10AB"/>
    <w:rsid w:val="003D4000"/>
    <w:rsid w:val="003F1EFD"/>
    <w:rsid w:val="003F4249"/>
    <w:rsid w:val="00401C75"/>
    <w:rsid w:val="0040761B"/>
    <w:rsid w:val="00422C3F"/>
    <w:rsid w:val="004354AC"/>
    <w:rsid w:val="00446E1A"/>
    <w:rsid w:val="00482DE5"/>
    <w:rsid w:val="004847CA"/>
    <w:rsid w:val="004B7714"/>
    <w:rsid w:val="004C4B76"/>
    <w:rsid w:val="004D2D62"/>
    <w:rsid w:val="004D30D5"/>
    <w:rsid w:val="004D438B"/>
    <w:rsid w:val="004E235F"/>
    <w:rsid w:val="0051012E"/>
    <w:rsid w:val="005142E6"/>
    <w:rsid w:val="00522C71"/>
    <w:rsid w:val="005241CE"/>
    <w:rsid w:val="00534552"/>
    <w:rsid w:val="00540D49"/>
    <w:rsid w:val="00540E5C"/>
    <w:rsid w:val="00550A79"/>
    <w:rsid w:val="00551DE0"/>
    <w:rsid w:val="0057409D"/>
    <w:rsid w:val="005769D4"/>
    <w:rsid w:val="00584777"/>
    <w:rsid w:val="00587242"/>
    <w:rsid w:val="005A1232"/>
    <w:rsid w:val="005A32ED"/>
    <w:rsid w:val="005A3AA1"/>
    <w:rsid w:val="005A3DA3"/>
    <w:rsid w:val="005A4D27"/>
    <w:rsid w:val="005B0FAF"/>
    <w:rsid w:val="005B14CE"/>
    <w:rsid w:val="005B6538"/>
    <w:rsid w:val="005C37AB"/>
    <w:rsid w:val="005E3C49"/>
    <w:rsid w:val="005F35E2"/>
    <w:rsid w:val="00601A75"/>
    <w:rsid w:val="00616F70"/>
    <w:rsid w:val="00622DE5"/>
    <w:rsid w:val="00636BE0"/>
    <w:rsid w:val="0064363E"/>
    <w:rsid w:val="006811D6"/>
    <w:rsid w:val="00690392"/>
    <w:rsid w:val="00697F98"/>
    <w:rsid w:val="006C326A"/>
    <w:rsid w:val="006C40E9"/>
    <w:rsid w:val="006D3303"/>
    <w:rsid w:val="006D5CB7"/>
    <w:rsid w:val="006E3675"/>
    <w:rsid w:val="00706B8E"/>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7F5EE3"/>
    <w:rsid w:val="008019FD"/>
    <w:rsid w:val="008034F8"/>
    <w:rsid w:val="00812683"/>
    <w:rsid w:val="00820A3A"/>
    <w:rsid w:val="00827228"/>
    <w:rsid w:val="008433E2"/>
    <w:rsid w:val="00846702"/>
    <w:rsid w:val="008553EB"/>
    <w:rsid w:val="0086333F"/>
    <w:rsid w:val="00870A2D"/>
    <w:rsid w:val="008844BF"/>
    <w:rsid w:val="0088546A"/>
    <w:rsid w:val="00890C59"/>
    <w:rsid w:val="00890E2F"/>
    <w:rsid w:val="008938E5"/>
    <w:rsid w:val="008B4536"/>
    <w:rsid w:val="008C4AC3"/>
    <w:rsid w:val="00906685"/>
    <w:rsid w:val="00910E0F"/>
    <w:rsid w:val="0091690E"/>
    <w:rsid w:val="009330EB"/>
    <w:rsid w:val="00947238"/>
    <w:rsid w:val="009624FC"/>
    <w:rsid w:val="0096461D"/>
    <w:rsid w:val="00972ACB"/>
    <w:rsid w:val="009953AF"/>
    <w:rsid w:val="00996E34"/>
    <w:rsid w:val="009A6E2B"/>
    <w:rsid w:val="009B4FAC"/>
    <w:rsid w:val="009C20D3"/>
    <w:rsid w:val="009E5835"/>
    <w:rsid w:val="009F4E01"/>
    <w:rsid w:val="00A06A2B"/>
    <w:rsid w:val="00A07090"/>
    <w:rsid w:val="00A11AD7"/>
    <w:rsid w:val="00A1286B"/>
    <w:rsid w:val="00A240CA"/>
    <w:rsid w:val="00A37C1D"/>
    <w:rsid w:val="00A40D86"/>
    <w:rsid w:val="00A43208"/>
    <w:rsid w:val="00A47920"/>
    <w:rsid w:val="00A502EF"/>
    <w:rsid w:val="00A55E61"/>
    <w:rsid w:val="00A57EBF"/>
    <w:rsid w:val="00A66804"/>
    <w:rsid w:val="00A75EED"/>
    <w:rsid w:val="00A7779B"/>
    <w:rsid w:val="00A878E2"/>
    <w:rsid w:val="00A962A7"/>
    <w:rsid w:val="00AA08DB"/>
    <w:rsid w:val="00AA1DD6"/>
    <w:rsid w:val="00AA2FEA"/>
    <w:rsid w:val="00AA7C22"/>
    <w:rsid w:val="00AB0A73"/>
    <w:rsid w:val="00AB5EB2"/>
    <w:rsid w:val="00AC3839"/>
    <w:rsid w:val="00AE2E8F"/>
    <w:rsid w:val="00AF5760"/>
    <w:rsid w:val="00AF6352"/>
    <w:rsid w:val="00B05649"/>
    <w:rsid w:val="00B1723C"/>
    <w:rsid w:val="00B177FE"/>
    <w:rsid w:val="00B264C1"/>
    <w:rsid w:val="00B31B65"/>
    <w:rsid w:val="00B36178"/>
    <w:rsid w:val="00B4532F"/>
    <w:rsid w:val="00B46232"/>
    <w:rsid w:val="00B85EE2"/>
    <w:rsid w:val="00BF2B7B"/>
    <w:rsid w:val="00BF71C2"/>
    <w:rsid w:val="00C26F53"/>
    <w:rsid w:val="00C330CB"/>
    <w:rsid w:val="00C3675D"/>
    <w:rsid w:val="00C419C1"/>
    <w:rsid w:val="00C51E49"/>
    <w:rsid w:val="00C521F9"/>
    <w:rsid w:val="00C63351"/>
    <w:rsid w:val="00C71253"/>
    <w:rsid w:val="00C734F9"/>
    <w:rsid w:val="00C87365"/>
    <w:rsid w:val="00C93FF6"/>
    <w:rsid w:val="00CC20B0"/>
    <w:rsid w:val="00CE163F"/>
    <w:rsid w:val="00D21279"/>
    <w:rsid w:val="00D43AA2"/>
    <w:rsid w:val="00D518DB"/>
    <w:rsid w:val="00D55ECB"/>
    <w:rsid w:val="00D67721"/>
    <w:rsid w:val="00D758CE"/>
    <w:rsid w:val="00D76A86"/>
    <w:rsid w:val="00D927D4"/>
    <w:rsid w:val="00DD2795"/>
    <w:rsid w:val="00DD4DE2"/>
    <w:rsid w:val="00DD520D"/>
    <w:rsid w:val="00DF0164"/>
    <w:rsid w:val="00DF14A9"/>
    <w:rsid w:val="00DF54AA"/>
    <w:rsid w:val="00E07D33"/>
    <w:rsid w:val="00E12909"/>
    <w:rsid w:val="00E12DDE"/>
    <w:rsid w:val="00E143B6"/>
    <w:rsid w:val="00E30CFF"/>
    <w:rsid w:val="00E55186"/>
    <w:rsid w:val="00E5658D"/>
    <w:rsid w:val="00E615F1"/>
    <w:rsid w:val="00E63146"/>
    <w:rsid w:val="00E64A1D"/>
    <w:rsid w:val="00E74920"/>
    <w:rsid w:val="00E81EE5"/>
    <w:rsid w:val="00E91F21"/>
    <w:rsid w:val="00EB6956"/>
    <w:rsid w:val="00EE6672"/>
    <w:rsid w:val="00EF0D22"/>
    <w:rsid w:val="00EF409B"/>
    <w:rsid w:val="00F13C69"/>
    <w:rsid w:val="00F41DF6"/>
    <w:rsid w:val="00F52245"/>
    <w:rsid w:val="00F5569F"/>
    <w:rsid w:val="00F60308"/>
    <w:rsid w:val="00F640D0"/>
    <w:rsid w:val="00F75389"/>
    <w:rsid w:val="00F836CA"/>
    <w:rsid w:val="00F903E8"/>
    <w:rsid w:val="00FA0C8C"/>
    <w:rsid w:val="00FB4F49"/>
    <w:rsid w:val="00FD07F5"/>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36CA"/>
    <w:pPr>
      <w:pBdr>
        <w:top w:val="nil"/>
        <w:left w:val="nil"/>
        <w:bottom w:val="nil"/>
        <w:right w:val="nil"/>
        <w:between w:val="nil"/>
        <w:bar w:val="nil"/>
      </w:pBdr>
    </w:pPr>
    <w:rPr>
      <w:rFonts w:eastAsia="Arial Unicode MS"/>
      <w:sz w:val="24"/>
      <w:szCs w:val="24"/>
      <w:bdr w:val="nil"/>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Body">
    <w:name w:val="Body"/>
    <w:rsid w:val="00F836CA"/>
    <w:pPr>
      <w:pBdr>
        <w:top w:val="nil"/>
        <w:left w:val="nil"/>
        <w:bottom w:val="nil"/>
        <w:right w:val="nil"/>
        <w:between w:val="nil"/>
        <w:bar w:val="nil"/>
      </w:pBdr>
      <w:jc w:val="both"/>
    </w:pPr>
    <w:rPr>
      <w:rFonts w:eastAsia="Arial Unicode MS" w:cs="Arial Unicode MS"/>
      <w:color w:val="000000"/>
      <w:sz w:val="24"/>
      <w:szCs w:val="24"/>
      <w:u w:color="000000"/>
      <w:bdr w:val="nil"/>
      <w:lang w:val="es-ES_tradnl"/>
    </w:rPr>
  </w:style>
  <w:style w:type="paragraph" w:customStyle="1" w:styleId="Footnote">
    <w:name w:val="Footnote"/>
    <w:rsid w:val="00F836CA"/>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00045-8884-43DB-AB9B-D5B587E07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Template>
  <TotalTime>9</TotalTime>
  <Pages>4</Pages>
  <Words>989</Words>
  <Characters>5057</Characters>
  <Application>Microsoft Office Word</Application>
  <DocSecurity>0</DocSecurity>
  <Lines>126</Lines>
  <Paragraphs>19</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Admin</dc:creator>
  <cp:lastModifiedBy>bemaggi</cp:lastModifiedBy>
  <cp:revision>4</cp:revision>
  <cp:lastPrinted>2020-02-28T17:24:00Z</cp:lastPrinted>
  <dcterms:created xsi:type="dcterms:W3CDTF">2022-03-16T17:39:00Z</dcterms:created>
  <dcterms:modified xsi:type="dcterms:W3CDTF">2022-03-17T17:20:00Z</dcterms:modified>
</cp:coreProperties>
</file>