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94D" w:rsidRPr="00370B94" w:rsidRDefault="00E1094D" w:rsidP="00370B94">
      <w:pPr>
        <w:rPr>
          <w:lang w:val="es-MX"/>
        </w:rPr>
      </w:pPr>
      <w:r w:rsidRPr="00370B94">
        <w:rPr>
          <w:lang w:val="es-MX"/>
        </w:rPr>
        <w:t>Legislatura de la Ciudad Autónoma de Buenos Aires</w:t>
      </w:r>
    </w:p>
    <w:p w:rsidR="00E1094D" w:rsidRPr="00370B94" w:rsidRDefault="00E1094D" w:rsidP="00370B94">
      <w:pPr>
        <w:rPr>
          <w:lang w:val="es-MX"/>
        </w:rPr>
      </w:pPr>
    </w:p>
    <w:p w:rsidR="00E1094D" w:rsidRPr="00370B94" w:rsidRDefault="00E1094D" w:rsidP="00370B94">
      <w:pPr>
        <w:rPr>
          <w:lang w:val="es-MX"/>
        </w:rPr>
      </w:pPr>
    </w:p>
    <w:p w:rsidR="00E1094D" w:rsidRPr="00370B94" w:rsidRDefault="00E1094D" w:rsidP="00370B94">
      <w:pPr>
        <w:rPr>
          <w:lang w:val="es-MX"/>
        </w:rPr>
      </w:pPr>
      <w:r w:rsidRPr="00370B94">
        <w:rPr>
          <w:lang w:val="es-MX"/>
        </w:rPr>
        <w:t>Visto:</w:t>
      </w:r>
    </w:p>
    <w:p w:rsidR="00E1094D" w:rsidRPr="00370B94" w:rsidRDefault="00E1094D" w:rsidP="00370B94">
      <w:r w:rsidRPr="00370B94">
        <w:rPr>
          <w:lang w:val="es-MX"/>
        </w:rPr>
        <w:t xml:space="preserve">          </w:t>
      </w:r>
      <w:r w:rsidRPr="00370B94">
        <w:t xml:space="preserve">En el proyecto de Declaración presentado en el Expediente 315-D-2022 agregado al 321-D-22 por los Diputados y Diputadas, López, </w:t>
      </w:r>
      <w:proofErr w:type="spellStart"/>
      <w:r w:rsidRPr="00370B94">
        <w:t>Ferreño</w:t>
      </w:r>
      <w:proofErr w:type="spellEnd"/>
      <w:r w:rsidRPr="00370B94">
        <w:t xml:space="preserve">, Bou Pérez, De las Casas, Del </w:t>
      </w:r>
      <w:proofErr w:type="spellStart"/>
      <w:r w:rsidRPr="00370B94">
        <w:t>Gaiso</w:t>
      </w:r>
      <w:proofErr w:type="spellEnd"/>
      <w:r w:rsidRPr="00370B94">
        <w:t xml:space="preserve">, Garrido, González </w:t>
      </w:r>
      <w:proofErr w:type="spellStart"/>
      <w:r w:rsidRPr="00370B94">
        <w:t>Estevarena</w:t>
      </w:r>
      <w:proofErr w:type="spellEnd"/>
      <w:r w:rsidRPr="00370B94">
        <w:t xml:space="preserve">, Méndez, </w:t>
      </w:r>
      <w:proofErr w:type="spellStart"/>
      <w:r w:rsidRPr="00370B94">
        <w:t>Michielloto</w:t>
      </w:r>
      <w:proofErr w:type="spellEnd"/>
      <w:r w:rsidRPr="00370B94">
        <w:t xml:space="preserve">, Amor, Andrade, </w:t>
      </w:r>
      <w:proofErr w:type="spellStart"/>
      <w:r w:rsidRPr="00370B94">
        <w:t>Barroetaveña</w:t>
      </w:r>
      <w:proofErr w:type="spellEnd"/>
      <w:r w:rsidRPr="00370B94">
        <w:t xml:space="preserve">, </w:t>
      </w:r>
      <w:proofErr w:type="spellStart"/>
      <w:r w:rsidRPr="00370B94">
        <w:t>Bielli</w:t>
      </w:r>
      <w:proofErr w:type="spellEnd"/>
      <w:r w:rsidRPr="00370B94">
        <w:t xml:space="preserve">, </w:t>
      </w:r>
      <w:proofErr w:type="spellStart"/>
      <w:r w:rsidRPr="00370B94">
        <w:t>Campora</w:t>
      </w:r>
      <w:proofErr w:type="spellEnd"/>
      <w:r w:rsidRPr="00370B94">
        <w:t xml:space="preserve">, </w:t>
      </w:r>
      <w:proofErr w:type="spellStart"/>
      <w:r w:rsidRPr="00370B94">
        <w:t>Daer</w:t>
      </w:r>
      <w:proofErr w:type="spellEnd"/>
      <w:r w:rsidRPr="00370B94">
        <w:t xml:space="preserve">, Fernández, </w:t>
      </w:r>
      <w:proofErr w:type="spellStart"/>
      <w:r w:rsidRPr="00370B94">
        <w:t>Iañez</w:t>
      </w:r>
      <w:proofErr w:type="spellEnd"/>
      <w:r w:rsidRPr="00370B94">
        <w:t xml:space="preserve">, </w:t>
      </w:r>
      <w:proofErr w:type="spellStart"/>
      <w:r w:rsidRPr="00370B94">
        <w:t>Modarelli</w:t>
      </w:r>
      <w:proofErr w:type="spellEnd"/>
      <w:r w:rsidRPr="00370B94">
        <w:t xml:space="preserve">, Montenegro, </w:t>
      </w:r>
      <w:proofErr w:type="spellStart"/>
      <w:r w:rsidRPr="00370B94">
        <w:t>Morresi</w:t>
      </w:r>
      <w:proofErr w:type="spellEnd"/>
      <w:r w:rsidRPr="00370B94">
        <w:t xml:space="preserve">, Neira, Segura </w:t>
      </w:r>
      <w:proofErr w:type="spellStart"/>
      <w:r w:rsidRPr="00370B94">
        <w:t>Rattagan</w:t>
      </w:r>
      <w:proofErr w:type="spellEnd"/>
      <w:r w:rsidRPr="00370B94">
        <w:t xml:space="preserve">, </w:t>
      </w:r>
      <w:proofErr w:type="spellStart"/>
      <w:r w:rsidRPr="00370B94">
        <w:t>Socías</w:t>
      </w:r>
      <w:proofErr w:type="spellEnd"/>
      <w:r w:rsidRPr="00370B94">
        <w:t xml:space="preserve">, </w:t>
      </w:r>
      <w:proofErr w:type="spellStart"/>
      <w:r w:rsidRPr="00370B94">
        <w:t>Tiesso</w:t>
      </w:r>
      <w:proofErr w:type="spellEnd"/>
      <w:r w:rsidRPr="00370B94">
        <w:t xml:space="preserve">, </w:t>
      </w:r>
      <w:proofErr w:type="spellStart"/>
      <w:r w:rsidRPr="00370B94">
        <w:t>Valdes</w:t>
      </w:r>
      <w:proofErr w:type="spellEnd"/>
      <w:r w:rsidRPr="00370B94">
        <w:t xml:space="preserve">, Velasco y </w:t>
      </w:r>
      <w:proofErr w:type="spellStart"/>
      <w:r w:rsidRPr="00370B94">
        <w:t>Vitali</w:t>
      </w:r>
      <w:proofErr w:type="spellEnd"/>
      <w:r w:rsidRPr="00370B94">
        <w:t xml:space="preserve">, por el cual se conmemora </w:t>
      </w:r>
      <w:r w:rsidRPr="00370B94">
        <w:rPr>
          <w:szCs w:val="24"/>
        </w:rPr>
        <w:t>el "Día del Veterano y de los Caídos en la Guerra de Malvinas e Islas del Atlántico Sur"</w:t>
      </w:r>
      <w:r w:rsidRPr="00370B94">
        <w:t>, y ;</w:t>
      </w:r>
    </w:p>
    <w:p w:rsidR="00E1094D" w:rsidRPr="00370B94" w:rsidRDefault="00E1094D" w:rsidP="00370B94"/>
    <w:p w:rsidR="00E1094D" w:rsidRPr="00370B94" w:rsidRDefault="00E1094D" w:rsidP="00370B94"/>
    <w:p w:rsidR="00E1094D" w:rsidRPr="00370B94" w:rsidRDefault="00E1094D" w:rsidP="00370B94">
      <w:r w:rsidRPr="00370B94">
        <w:t>Considerando:</w:t>
      </w:r>
    </w:p>
    <w:p w:rsidR="00E1094D" w:rsidRPr="00370B94" w:rsidRDefault="00E1094D" w:rsidP="00370B94"/>
    <w:p w:rsidR="00E1094D" w:rsidRPr="00370B94" w:rsidRDefault="00E1094D" w:rsidP="00370B94">
      <w:pPr>
        <w:ind w:firstLine="1700"/>
        <w:rPr>
          <w:szCs w:val="24"/>
        </w:rPr>
      </w:pPr>
      <w:r w:rsidRPr="00370B94">
        <w:rPr>
          <w:szCs w:val="24"/>
        </w:rPr>
        <w:t>La Ley N° 25.370 y su modificatoria Ley N°26.110 establece el 2 de abril de cada año como el "Día del Veterano y de los Caídos en la Guerra de Malvinas". Fecha que hace referencia al desembarco de las tropas argentinas  en las Islas del Atlántico Sur, además del día en que se produjo la primera baja entre las fuerzas nacionales. En este aniversario, recordamos y sostenemos, una vez más, que la legítima soberanía de nuestro país sobre las islas es una causa nacional que no distingue colores políticos.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 xml:space="preserve">En el marco de las Naciones Unidas se conoce como “Cuestión de las Islas Malvinas” a la disputa entre la Argentina y el Reino Unido por la soberanía de las Islas Malvinas, </w:t>
      </w:r>
      <w:proofErr w:type="spellStart"/>
      <w:r w:rsidRPr="00370B94">
        <w:rPr>
          <w:szCs w:val="24"/>
        </w:rPr>
        <w:t>Georgias</w:t>
      </w:r>
      <w:proofErr w:type="spellEnd"/>
      <w:r w:rsidRPr="00370B94">
        <w:rPr>
          <w:szCs w:val="24"/>
        </w:rPr>
        <w:t xml:space="preserve"> del Sur, </w:t>
      </w:r>
      <w:proofErr w:type="spellStart"/>
      <w:r w:rsidRPr="00370B94">
        <w:rPr>
          <w:szCs w:val="24"/>
        </w:rPr>
        <w:t>Sandwich</w:t>
      </w:r>
      <w:proofErr w:type="spellEnd"/>
      <w:r w:rsidRPr="00370B94">
        <w:rPr>
          <w:szCs w:val="24"/>
        </w:rPr>
        <w:t xml:space="preserve"> del Sur y los espacios marítimos circundantes. La Cuestión ha estado presente en las Naciones Unidas desde los orígenes mismos de esta Organización, cuando en la conferencia de San Francisco la delegación argentina presentó una reserva de derechos según la cual la República Argentina no aceptaba, en ningún caso, que el sistema de Administración Fiduciaria –que supervisaba la administración, con miras a su independencia, de los denominados “territorios no autónomos”- pueda ser aplicado a, o sobre, territorios que le pertenezcan, ya sea que ellos estén sujetos a reclamo o controversia, o estén en posesión de otros Estados.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El 14 de diciembre de 1960 la Asamblea General de las Naciones Unidas adoptó la resolución 1514 (XV) “Declaración sobre la concesión de la independencia a los países y pueblos coloniales”. Ella marcó un hito en el proceso de descolonización impulsado por las Naciones Unidas, proclamando “la necesidad de poner fin, rápida e incondicionalmente, al colonialismo en todas sus formas y manifestaciones”, y consagrando los dos principios fundamentales que debían guiar el proceso de descolonización: el de libre determinación y el de integridad territorial. En su párrafo sexto, referido al principio de integridad territorial, la resolución 1514 (XV) establece que “todo intento encaminado a quebrar total o parcialmente la unidad nacional y la integridad territorial de un país es incompatible con los propósitos y principios de la Carta de las Naciones Unidas”, fijando una clara posición respecto de que allí donde estuviera en riesgo la integridad territorial de los Estados, no debe recurrirse a la aplicación de la libre determinación.</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En este proceso de descolonización, y en aplicación de la citada resolución 1514 (XV), el 16 de diciembre de 1965 la Asamblea General adoptó la resolución 2065 (XX) –la primera referida exclusivamente a la Cuestión Malvinas-, a través de la cual reconoció la existencia de una disputa de soberanía entre la Argentina y el Reino Unido e invitó a ambos países a negociar para encontrar una solución pacífica a la controversia.</w:t>
      </w:r>
    </w:p>
    <w:p w:rsidR="00E1094D" w:rsidRPr="00370B94" w:rsidRDefault="00E1094D" w:rsidP="00370B94">
      <w:pPr>
        <w:ind w:firstLine="1700"/>
        <w:rPr>
          <w:szCs w:val="24"/>
        </w:rPr>
      </w:pPr>
      <w:r w:rsidRPr="00370B94">
        <w:rPr>
          <w:szCs w:val="24"/>
        </w:rPr>
        <w:t>La importancia de esta resolución radica en que allí se establecen los elementos esenciales que definen a la Cuestión y –en consecuencia- la forma en que debe ser solucionada. Estos son:</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lastRenderedPageBreak/>
        <w:t>-Que el caso de las Islas Malvinas es una de las formas de colonialismo al que debe ponerse fin.</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-Que en este caso subyace una disputa de soberanía entre los gobiernos argentino y británico.</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-Que la forma de encontrarle una solución es a través de las negociaciones bilaterales entre ambos gobiernos.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Estas negociaciones deberán tener en cuenta los principios y propósitos de la Carta y de la resolución 1514 (XV), así como los intereses de la población de las islas. Es importante señalar que la resolución 2065 (XX) indica que en las negociaciones para encontrar una solución a la disputa deben ser tenidos en cuenta los intereses de los habitantes de las islas, y no sus deseos, excluyendo la aplicación de la libre determinación para este caso en particular.</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 xml:space="preserve">En los años que siguieron a la adopción de esta resolución se inició un proceso de negociación bilateral respecto de la soberanía sobre las Islas Malvinas, </w:t>
      </w:r>
      <w:proofErr w:type="spellStart"/>
      <w:r w:rsidRPr="00370B94">
        <w:rPr>
          <w:szCs w:val="24"/>
        </w:rPr>
        <w:t>Georgias</w:t>
      </w:r>
      <w:proofErr w:type="spellEnd"/>
      <w:r w:rsidRPr="00370B94">
        <w:rPr>
          <w:szCs w:val="24"/>
        </w:rPr>
        <w:t xml:space="preserve"> del Sur, </w:t>
      </w:r>
      <w:proofErr w:type="spellStart"/>
      <w:r w:rsidRPr="00370B94">
        <w:rPr>
          <w:szCs w:val="24"/>
        </w:rPr>
        <w:t>Sandwich</w:t>
      </w:r>
      <w:proofErr w:type="spellEnd"/>
      <w:r w:rsidRPr="00370B94">
        <w:rPr>
          <w:szCs w:val="24"/>
        </w:rPr>
        <w:t xml:space="preserve"> del Sur y los espacios marítimos circundantes, en los cuales ambas Partes propusieron distintas alternativas de solución que lamentablemente no llegaron a concretarse. En el año 1973 la Asamblea General declaró la necesidad de acelerar las negociaciones en curso, y mediante su resolución 3160 (XXVIII) instó a ambos gobiernos a proseguir sin demora. </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En forma paralela a las negociaciones sobre el fondo de la Cuestión, se desarrollaron conversaciones especiales sobre aspectos prácticos que permitirían mejorar la calidad de vida de la población de las Islas, demostrando así la Argentina su voluntad de atender a los intereses de los isleños. Como resultado de esas conversaciones especiales, ambos gobiernos arribaron en 1971 a un acuerdo –bajo fórmula de soberanía-- que facilitó la provisión de bienes y servicios a las islas desde el continente. De esta forma se establecieron servicios aéreos y marítimos regulares; comunicaciones postales, telegráficas y telefónicas; y la Argentina asumió el compromiso de cooperar en los campos de la salud, educacional, agrícola y técnico.</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 xml:space="preserve">Al propio tiempo, las negociaciones que versaban sobre la cuestión de fondo trataron oficial u oficiosamente distintas fórmulas de solución. Pero, a pesar de dichas negociaciones en curso y las acciones argentinas en favor de los intereses de los </w:t>
      </w:r>
      <w:proofErr w:type="gramStart"/>
      <w:r w:rsidRPr="00370B94">
        <w:rPr>
          <w:szCs w:val="24"/>
        </w:rPr>
        <w:t>habitantes</w:t>
      </w:r>
      <w:proofErr w:type="gramEnd"/>
      <w:r w:rsidRPr="00370B94">
        <w:rPr>
          <w:szCs w:val="24"/>
        </w:rPr>
        <w:t xml:space="preserve"> de las Islas, el Reino Unido simultáneamente llevaba a cabo actos unilaterales, relacionados con la exploración de los recursos naturales del área en disputa, que fueron protestados por el Gobierno argentino.</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Atento a ello, en diciembre de 1976, la Asamblea General de las Naciones Unidas adoptó una nueva resolución –la número 31/49-, de significativa importancia por su contenido. Allí, la Asamblea General reconoció los esfuerzos realizados por la Argentina para avanzar en el proceso de descolonización, así como las acciones tomadas para promover el bienestar de los isleños, e instó a las dos partes de la disputa a que se abstengan de adoptar decisiones que entrañen la introducción de modificaciones unilaterales en la situación mientras las Islas estén atravesando por el proceso recomendado por la Asamblea.</w:t>
      </w:r>
    </w:p>
    <w:p w:rsidR="00E1094D" w:rsidRPr="00370B94" w:rsidRDefault="00E1094D" w:rsidP="00370B94">
      <w:pPr>
        <w:ind w:firstLine="1700"/>
        <w:rPr>
          <w:szCs w:val="24"/>
        </w:rPr>
      </w:pPr>
    </w:p>
    <w:p w:rsidR="00370B94" w:rsidRPr="00370B94" w:rsidRDefault="00E1094D" w:rsidP="00370B94">
      <w:pPr>
        <w:ind w:firstLine="1700"/>
        <w:rPr>
          <w:szCs w:val="24"/>
        </w:rPr>
      </w:pPr>
      <w:r w:rsidRPr="00370B94">
        <w:rPr>
          <w:szCs w:val="24"/>
        </w:rPr>
        <w:t xml:space="preserve">Fue en el año  1982 cuando comenzó el desacertado plan de la Junta Militar por recuperar el territorio del Atlántico Sur que Inglaterra mantenía ocupado desde 1833, año en el que esa nación tomó las islas bajo su dominio, adjudicándose su </w:t>
      </w:r>
    </w:p>
    <w:p w:rsidR="00E1094D" w:rsidRPr="00370B94" w:rsidRDefault="00E1094D" w:rsidP="00370B94">
      <w:pPr>
        <w:rPr>
          <w:szCs w:val="24"/>
        </w:rPr>
      </w:pPr>
      <w:proofErr w:type="gramStart"/>
      <w:r w:rsidRPr="00370B94">
        <w:rPr>
          <w:szCs w:val="24"/>
        </w:rPr>
        <w:t>descubrimiento</w:t>
      </w:r>
      <w:proofErr w:type="gramEnd"/>
      <w:r w:rsidRPr="00370B94">
        <w:rPr>
          <w:szCs w:val="24"/>
        </w:rPr>
        <w:t xml:space="preserve"> y expulsando a las autoridades criollas que se encontraban allí desde la creación del Virreinato del Río de la Plata.</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 xml:space="preserve">La controversia llegó a su punto más álgido cuando el día 2 de abril las fuerzas armadas argentinas invadieron y ocuparon las islas durante 74 días. El 3 de abril, </w:t>
      </w:r>
      <w:r w:rsidRPr="00370B94">
        <w:rPr>
          <w:szCs w:val="24"/>
        </w:rPr>
        <w:lastRenderedPageBreak/>
        <w:t xml:space="preserve">la Primera Ministra británica Margaret </w:t>
      </w:r>
      <w:proofErr w:type="spellStart"/>
      <w:r w:rsidRPr="00370B94">
        <w:rPr>
          <w:szCs w:val="24"/>
        </w:rPr>
        <w:t>Thatcher</w:t>
      </w:r>
      <w:proofErr w:type="spellEnd"/>
      <w:r w:rsidRPr="00370B94">
        <w:rPr>
          <w:szCs w:val="24"/>
        </w:rPr>
        <w:t xml:space="preserve"> mandó a alistar tropas y organizó una importante flota naval. La decisión tomada por la dictadura militar, cuyas razones aún hoy se discuten, valió la participación argentina en un conflicto bélico durante el siglo XX.</w:t>
      </w:r>
    </w:p>
    <w:p w:rsidR="00E1094D" w:rsidRPr="00370B94" w:rsidRDefault="00E1094D" w:rsidP="00370B94">
      <w:pPr>
        <w:ind w:firstLine="1700"/>
        <w:rPr>
          <w:szCs w:val="24"/>
        </w:rPr>
      </w:pPr>
      <w:r w:rsidRPr="00370B94">
        <w:rPr>
          <w:szCs w:val="24"/>
        </w:rPr>
        <w:t>Si bien la guerra fue relativamente corta, sus resultados fueron contundentemente trágicos. Los combates se sucedieron hasta el 14 de junio de 1982 cuando se firmó la rendición argentina, arrojando -para ese momento- una cifra oficial de 649 compatriotas muertos y alrededor de 1300 heridos.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A grandes rasgos, la realidad de la guerra de Malvinas fue una de errores políticos y diplomáticos, y una clara desventaja de las fuerzas militares argentinas frente a las británicas, mejor preparadas y equipadas. Es por aquellos ciudadanos argentinos que lucharon y dieron su vida en condiciones desiguales, así como por la legitimidad de nuestro título que debemos reivindicar la conmemoración en nombre de la defensa por nuestra soberanía sobre las Islas.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El conflicto del Atlántico Sur de 1982 no alteró la naturaleza de la controversia entre la Argentina y el Reino Unido, ni puso fin a la disputa de soberanía, la cual continuó pendiente de solución. Así lo reconoció la Asamblea General en noviembre de ese mismo año cuando adoptó la resolución 37/9 que pidió a los dos gobiernos reanudar las negociaciones que permitan encontrar una solución pacífica a la disputa de soberanía. Ello fue reiterado en las subsiguientes resoluciones de la Asamblea relativas a la Cuestión.</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El examen anual de la Cuestión de las Islas Malvinas está radicado en el Comité Especial de Descolonización. En el seno de este Comité, compuesto por 29 países, se discute anualmente la Cuestión Malvinas, adoptando año a año una resolución de similar tenor a las adoptadas por la Asamblea General, solicitando la reanudación de negociaciones sobre soberanía.</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El llamado de las Naciones Unidas para la reanudación de negociaciones entre la Argentina y el Reino Unido es compartido por diversos foros multilaterales, tales como la Organización de Estados Americanos (OEA), el Grupo de los 77 más China, la Comunidad de Estados Latinoamericanos y Caribeños (CELAC), las Cumbres Iberoamericanas, el MERCOSUR, entre otros. Estos foros, de diversa composición y temática, han adoptado pronunciamientos en los cuales se reitera la necesidad de encontrar una solución pacífica y definitiva a la disputa de soberanía. Sin embargo este tema central no ha podido aún ser abordado debido a la negativa del Reino Unido a reanudar las negociaciones al respecto.</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El Reino Unido funda su negativa en la pretensión de aplicar el principio de libre determinación como principio rector para resolver este caso especial y particular de descolonización. La libre determinación requiere para su aplicación de la existencia de un sujeto activo capaz de ejercer su derecho a la libre determinación, es decir, de un “pueblo” sujeto a la dominación o explotación extranjera. En el caso de las Islas Malvinas no existe tal sujeto, pues no puede decirse que los habitantes de las islas –que son ciudadanos británicos- hayan estado sujetos alguna vez a dominación de una potencia colonial extranjera. La población de las Islas Malvinas no ha sido reconocida como un “pueblo” en el sentido del derecho internacional, por lo que no corresponde reconocerles la titularidad del derecho a la libre determinación.</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Es justamente por ello que ninguna de las más de 40 resoluciones de la Asamblea General y del Comité Especial de Descolonización ha contemplado alguna vez la aplicación del principio de libre determinación para encontrar una solución a la disputa de soberanía relacionada con la Cuestión Malvinas.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 xml:space="preserve">Paralelamente, Argentina y el Reino Unido han avanzado en el reconocimiento e identificación de los restos de combatientes enterrados allí, lo que </w:t>
      </w:r>
      <w:r w:rsidRPr="00370B94">
        <w:rPr>
          <w:szCs w:val="24"/>
        </w:rPr>
        <w:lastRenderedPageBreak/>
        <w:t>constituye un verdadero hito en el tema de Malvinas, especialmente en relación con los derechos de los familiares.</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szCs w:val="24"/>
        </w:rPr>
        <w:t>Renunciar a la cuestión de Malvinas sería olvidar y abandonar parte de nuestra identidad estratégica en la región. Debemos continuar en el camino de reclamo por el reconocimiento de la soberanía argentina sobre las Islas, y a la vez dignificar y rememorar a los caídos en combate en aquella gesta histórica y contener a los Veteranos de Guerra.</w:t>
      </w:r>
    </w:p>
    <w:p w:rsidR="00E1094D" w:rsidRPr="00370B94" w:rsidRDefault="00E1094D" w:rsidP="00370B94">
      <w:pPr>
        <w:ind w:firstLine="1700"/>
        <w:rPr>
          <w:szCs w:val="24"/>
        </w:rPr>
      </w:pPr>
    </w:p>
    <w:p w:rsidR="00E1094D" w:rsidRPr="00370B94" w:rsidRDefault="00E1094D" w:rsidP="00370B94">
      <w:pPr>
        <w:ind w:firstLine="1700"/>
        <w:rPr>
          <w:szCs w:val="24"/>
        </w:rPr>
      </w:pPr>
      <w:r w:rsidRPr="00370B94">
        <w:rPr>
          <w:lang w:val="es-MX"/>
        </w:rPr>
        <w:t>Por lo expuesto, esta Comisión de Derechos Humanos, Garantías y Antidiscriminación aconseja la aprobación de la siguiente</w:t>
      </w:r>
    </w:p>
    <w:p w:rsidR="00E1094D" w:rsidRPr="00370B94" w:rsidRDefault="00E1094D" w:rsidP="00370B94">
      <w:pPr>
        <w:rPr>
          <w:lang w:val="es-MX"/>
        </w:rPr>
      </w:pPr>
    </w:p>
    <w:p w:rsidR="00E1094D" w:rsidRPr="00370B94" w:rsidRDefault="00E1094D" w:rsidP="00370B94">
      <w:pPr>
        <w:rPr>
          <w:lang w:val="es-MX"/>
        </w:rPr>
      </w:pPr>
    </w:p>
    <w:p w:rsidR="00E1094D" w:rsidRPr="00370B94" w:rsidRDefault="00E1094D" w:rsidP="00370B94">
      <w:pPr>
        <w:rPr>
          <w:b/>
          <w:lang w:val="es-MX"/>
        </w:rPr>
      </w:pPr>
      <w:r w:rsidRPr="00370B94">
        <w:rPr>
          <w:b/>
          <w:lang w:val="es-MX"/>
        </w:rPr>
        <w:t xml:space="preserve">                                              DECLARACIÓN</w:t>
      </w:r>
    </w:p>
    <w:p w:rsidR="00E1094D" w:rsidRPr="00370B94" w:rsidRDefault="00E1094D" w:rsidP="00370B94">
      <w:pPr>
        <w:rPr>
          <w:b/>
          <w:lang w:val="es-MX"/>
        </w:rPr>
      </w:pPr>
    </w:p>
    <w:p w:rsidR="00E1094D" w:rsidRPr="00370B94" w:rsidRDefault="00E1094D" w:rsidP="00370B94">
      <w:pPr>
        <w:rPr>
          <w:b/>
          <w:lang w:val="es-MX"/>
        </w:rPr>
      </w:pPr>
      <w:r w:rsidRPr="00370B94">
        <w:rPr>
          <w:szCs w:val="24"/>
        </w:rPr>
        <w:t>La Legislatura de la Ciudad Autónoma de Buenos Aires conmemora el "Día del Veterano y de los Caídos en la Guerra de Malvinas e Islas del Atlántico Sur", que tendrá lugar el próximo 2 de abril, con motivo de cumplirse el 40° aniversario del inicio del conflicto bélico, rindiendo homenaje a aquellos que participaron, defendieron y murieron en defensa de la soberanía argentina y adhiere a todas las actividades que se realicen en dicho marco.</w:t>
      </w:r>
    </w:p>
    <w:p w:rsidR="00E1094D" w:rsidRPr="00370B94" w:rsidRDefault="00E1094D" w:rsidP="00370B94">
      <w:pPr>
        <w:jc w:val="left"/>
      </w:pPr>
      <w:r w:rsidRPr="00370B94">
        <w:t xml:space="preserve">                                                     </w:t>
      </w:r>
    </w:p>
    <w:p w:rsidR="00E1094D" w:rsidRPr="00370B94" w:rsidRDefault="00E1094D" w:rsidP="00370B94">
      <w:pPr>
        <w:jc w:val="left"/>
      </w:pPr>
      <w:r w:rsidRPr="00370B94">
        <w:t xml:space="preserve">                                                                   </w:t>
      </w:r>
      <w:r w:rsidRPr="00370B94">
        <w:rPr>
          <w:lang w:val="es-MX"/>
        </w:rPr>
        <w:t>Sala de la Comisión... de ...         de 2022</w:t>
      </w:r>
    </w:p>
    <w:p w:rsidR="00E1094D" w:rsidRPr="00370B94" w:rsidRDefault="00E1094D" w:rsidP="00370B94">
      <w:pPr>
        <w:rPr>
          <w:lang w:val="es-MX"/>
        </w:rPr>
      </w:pPr>
    </w:p>
    <w:p w:rsidR="00E1094D" w:rsidRPr="00370B94" w:rsidRDefault="00E1094D" w:rsidP="00370B94">
      <w:pPr>
        <w:rPr>
          <w:lang w:val="es-MX"/>
        </w:rPr>
      </w:pPr>
    </w:p>
    <w:p w:rsidR="00E1094D" w:rsidRPr="00370B94" w:rsidRDefault="00E1094D" w:rsidP="00370B94">
      <w:pPr>
        <w:rPr>
          <w:lang w:val="es-AR"/>
        </w:rPr>
      </w:pPr>
    </w:p>
    <w:p w:rsidR="00E1094D" w:rsidRPr="00370B94" w:rsidRDefault="00E1094D" w:rsidP="00370B94">
      <w:pPr>
        <w:rPr>
          <w:lang w:val="es-AR"/>
        </w:rPr>
      </w:pPr>
      <w:r w:rsidRPr="00370B94">
        <w:rPr>
          <w:lang w:val="es-AR"/>
        </w:rPr>
        <w:t xml:space="preserve">                                                                   MONTENEGRO, Victoria</w:t>
      </w:r>
    </w:p>
    <w:p w:rsidR="00E1094D" w:rsidRPr="00370B94" w:rsidRDefault="00E1094D" w:rsidP="00370B94">
      <w:pPr>
        <w:rPr>
          <w:lang w:val="es-AR"/>
        </w:rPr>
      </w:pPr>
      <w:r w:rsidRPr="00370B94">
        <w:rPr>
          <w:lang w:val="es-AR"/>
        </w:rPr>
        <w:t xml:space="preserve">                                                                              </w:t>
      </w:r>
      <w:proofErr w:type="gramStart"/>
      <w:r w:rsidRPr="00370B94">
        <w:rPr>
          <w:lang w:val="es-AR"/>
        </w:rPr>
        <w:t>presidenta</w:t>
      </w:r>
      <w:proofErr w:type="gramEnd"/>
    </w:p>
    <w:p w:rsidR="00E1094D" w:rsidRPr="00370B94" w:rsidRDefault="00E1094D" w:rsidP="00370B94">
      <w:pPr>
        <w:rPr>
          <w:lang w:val="es-AR"/>
        </w:rPr>
      </w:pPr>
      <w:r w:rsidRPr="00370B94">
        <w:rPr>
          <w:lang w:val="es-AR"/>
        </w:rPr>
        <w:t>ROMERO, Claudio</w:t>
      </w:r>
    </w:p>
    <w:p w:rsidR="00E1094D" w:rsidRPr="00370B94" w:rsidRDefault="00E1094D" w:rsidP="00370B94">
      <w:pPr>
        <w:rPr>
          <w:lang w:val="es-AR"/>
        </w:rPr>
      </w:pPr>
      <w:r w:rsidRPr="00370B94">
        <w:rPr>
          <w:lang w:val="es-AR"/>
        </w:rPr>
        <w:t xml:space="preserve">  Vicepresidente </w:t>
      </w: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r w:rsidRPr="00370B94">
        <w:rPr>
          <w:lang w:val="es-AR"/>
        </w:rPr>
        <w:t xml:space="preserve">VILLAFRUELA, </w:t>
      </w:r>
      <w:proofErr w:type="spellStart"/>
      <w:r w:rsidRPr="00370B94">
        <w:rPr>
          <w:lang w:val="es-AR"/>
        </w:rPr>
        <w:t>Gimena</w:t>
      </w:r>
      <w:proofErr w:type="spellEnd"/>
      <w:r w:rsidRPr="00370B94">
        <w:rPr>
          <w:lang w:val="es-AR"/>
        </w:rPr>
        <w:t xml:space="preserve">                                    ROMANO, Lucia</w:t>
      </w:r>
      <w:r w:rsidRPr="00370B94">
        <w:rPr>
          <w:lang w:val="es-AR"/>
        </w:rPr>
        <w:tab/>
      </w:r>
      <w:r w:rsidRPr="00370B94">
        <w:rPr>
          <w:lang w:val="es-AR"/>
        </w:rPr>
        <w:tab/>
      </w:r>
      <w:r w:rsidRPr="00370B94">
        <w:rPr>
          <w:lang w:val="es-AR"/>
        </w:rPr>
        <w:tab/>
        <w:t xml:space="preserve">       </w:t>
      </w: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r w:rsidRPr="00370B94">
        <w:rPr>
          <w:lang w:val="es-AR"/>
        </w:rPr>
        <w:t>BARRETO, Jesica</w:t>
      </w:r>
    </w:p>
    <w:p w:rsidR="00E1094D" w:rsidRPr="00370B94" w:rsidRDefault="00E1094D" w:rsidP="00370B94">
      <w:pPr>
        <w:rPr>
          <w:lang w:val="es-AR"/>
        </w:rPr>
      </w:pPr>
      <w:r w:rsidRPr="00370B94">
        <w:rPr>
          <w:lang w:val="es-AR"/>
        </w:rPr>
        <w:t xml:space="preserve">                                                                                   BOU PEREZ, Ana María</w:t>
      </w: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r w:rsidRPr="00370B94">
        <w:rPr>
          <w:lang w:val="es-AR"/>
        </w:rPr>
        <w:t>GONZALEZ ESTEVARENA</w:t>
      </w:r>
      <w:proofErr w:type="gramStart"/>
      <w:r w:rsidRPr="00370B94">
        <w:rPr>
          <w:lang w:val="es-AR"/>
        </w:rPr>
        <w:t>,M</w:t>
      </w:r>
      <w:proofErr w:type="gramEnd"/>
      <w:r w:rsidRPr="00370B94">
        <w:rPr>
          <w:lang w:val="es-AR"/>
        </w:rPr>
        <w:t xml:space="preserve"> Luisa                       ARENAZA, Juan Pablo</w:t>
      </w:r>
    </w:p>
    <w:p w:rsidR="00E1094D" w:rsidRPr="00370B94" w:rsidRDefault="00E1094D" w:rsidP="00370B94">
      <w:pPr>
        <w:rPr>
          <w:lang w:val="es-AR"/>
        </w:rPr>
      </w:pPr>
    </w:p>
    <w:p w:rsidR="00E1094D" w:rsidRPr="00370B94" w:rsidRDefault="00E1094D" w:rsidP="00370B94">
      <w:pPr>
        <w:rPr>
          <w:lang w:val="es-AR"/>
        </w:rPr>
      </w:pPr>
      <w:r w:rsidRPr="00370B94">
        <w:rPr>
          <w:lang w:val="es-AR"/>
        </w:rPr>
        <w:tab/>
      </w:r>
      <w:r w:rsidRPr="00370B94">
        <w:rPr>
          <w:lang w:val="es-AR"/>
        </w:rPr>
        <w:tab/>
      </w:r>
      <w:r w:rsidRPr="00370B94">
        <w:rPr>
          <w:lang w:val="es-AR"/>
        </w:rPr>
        <w:tab/>
      </w:r>
      <w:r w:rsidRPr="00370B94">
        <w:rPr>
          <w:lang w:val="es-AR"/>
        </w:rPr>
        <w:tab/>
        <w:t xml:space="preserve">                           </w:t>
      </w:r>
    </w:p>
    <w:p w:rsidR="00E1094D" w:rsidRPr="00370B94" w:rsidRDefault="00E1094D" w:rsidP="00370B94">
      <w:pPr>
        <w:rPr>
          <w:lang w:val="es-AR"/>
        </w:rPr>
      </w:pPr>
      <w:r w:rsidRPr="00370B94">
        <w:rPr>
          <w:lang w:val="es-AR"/>
        </w:rPr>
        <w:tab/>
      </w:r>
      <w:r w:rsidRPr="00370B94">
        <w:rPr>
          <w:lang w:val="es-AR"/>
        </w:rPr>
        <w:tab/>
      </w:r>
    </w:p>
    <w:p w:rsidR="00E1094D" w:rsidRPr="00370B94" w:rsidRDefault="00E1094D" w:rsidP="00370B94">
      <w:pPr>
        <w:rPr>
          <w:lang w:val="es-AR"/>
        </w:rPr>
      </w:pPr>
      <w:r w:rsidRPr="00370B94">
        <w:rPr>
          <w:lang w:val="es-AR"/>
        </w:rPr>
        <w:t>MONTENEGRO, Lucia                                                   THOURTE, Manuela</w:t>
      </w: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r w:rsidRPr="00370B94">
        <w:rPr>
          <w:lang w:val="es-AR"/>
        </w:rPr>
        <w:t xml:space="preserve">MOLA, Gustavo                                                                  MORRESI, </w:t>
      </w:r>
      <w:r w:rsidR="001F3701">
        <w:rPr>
          <w:lang w:val="es-AR"/>
        </w:rPr>
        <w:t>Claudio</w:t>
      </w: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p>
    <w:p w:rsidR="00E1094D" w:rsidRPr="00370B94" w:rsidRDefault="00E1094D" w:rsidP="00370B94">
      <w:pPr>
        <w:rPr>
          <w:lang w:val="es-AR"/>
        </w:rPr>
      </w:pPr>
      <w:r w:rsidRPr="00370B94">
        <w:rPr>
          <w:lang w:val="es-AR"/>
        </w:rPr>
        <w:t xml:space="preserve">BARRY, Alejandrina    </w:t>
      </w:r>
    </w:p>
    <w:p w:rsidR="00E1094D" w:rsidRPr="00370B94" w:rsidRDefault="00E1094D" w:rsidP="00370B94">
      <w:pPr>
        <w:rPr>
          <w:lang w:val="es-MX"/>
        </w:rPr>
      </w:pPr>
      <w:r w:rsidRPr="00370B94">
        <w:rPr>
          <w:lang w:val="es-AR"/>
        </w:rPr>
        <w:t xml:space="preserve">   </w:t>
      </w:r>
    </w:p>
    <w:p w:rsidR="00AF6352" w:rsidRPr="00370B94" w:rsidRDefault="00E1094D" w:rsidP="00370B94">
      <w:pPr>
        <w:rPr>
          <w:lang w:val="es-MX"/>
        </w:rPr>
      </w:pPr>
      <w:r w:rsidRPr="00370B94">
        <w:rPr>
          <w:lang w:val="es-MX"/>
        </w:rPr>
        <w:tab/>
      </w:r>
      <w:bookmarkStart w:id="0" w:name="DDeclaración"/>
      <w:bookmarkEnd w:id="0"/>
    </w:p>
    <w:sectPr w:rsidR="00AF6352" w:rsidRPr="00370B9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94D" w:rsidRDefault="00E1094D">
      <w:r>
        <w:separator/>
      </w:r>
    </w:p>
  </w:endnote>
  <w:endnote w:type="continuationSeparator" w:id="0">
    <w:p w:rsidR="00E1094D" w:rsidRDefault="00E109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B5AC4" w:rsidRDefault="00601A75">
    <w:pPr>
      <w:pStyle w:val="Piedepgina"/>
      <w:rPr>
        <w:color w:val="333333"/>
        <w:sz w:val="20"/>
      </w:rPr>
    </w:pPr>
    <w:bookmarkStart w:id="1" w:name="Despacho"/>
    <w:bookmarkEnd w:id="1"/>
  </w:p>
  <w:p w:rsidR="00601A75" w:rsidRPr="005B5AC4" w:rsidRDefault="00601A75">
    <w:pPr>
      <w:pStyle w:val="Piedepgina"/>
      <w:rPr>
        <w:color w:val="333333"/>
        <w:sz w:val="20"/>
      </w:rPr>
    </w:pPr>
    <w:r w:rsidRPr="005B5AC4">
      <w:rPr>
        <w:color w:val="333333"/>
        <w:sz w:val="20"/>
      </w:rPr>
      <w:t xml:space="preserve">Último cambio: </w:t>
    </w:r>
    <w:fldSimple w:instr=" SAVEDATE  \* MERGEFORMAT ">
      <w:r w:rsidR="00A01BAB" w:rsidRPr="00A01BAB">
        <w:rPr>
          <w:noProof/>
          <w:color w:val="333333"/>
          <w:sz w:val="20"/>
        </w:rPr>
        <w:t>21/03/2022 13:54:00</w:t>
      </w:r>
    </w:fldSimple>
    <w:r w:rsidRPr="005B5AC4">
      <w:rPr>
        <w:color w:val="333333"/>
        <w:sz w:val="20"/>
      </w:rPr>
      <w:t xml:space="preserve">  -  Cantidad de caracteres: </w:t>
    </w:r>
    <w:fldSimple w:instr=" NUMCHARS  \* MERGEFORMAT ">
      <w:r w:rsidR="00A01BAB" w:rsidRPr="00A01BAB">
        <w:rPr>
          <w:noProof/>
          <w:color w:val="333333"/>
          <w:sz w:val="20"/>
        </w:rPr>
        <w:t>10441</w:t>
      </w:r>
    </w:fldSimple>
    <w:r w:rsidRPr="005B5AC4">
      <w:rPr>
        <w:color w:val="333333"/>
        <w:sz w:val="20"/>
      </w:rPr>
      <w:t xml:space="preserve"> - Cantidad de palabras: </w:t>
    </w:r>
    <w:fldSimple w:instr=" NUMWORDS  \* MERGEFORMAT ">
      <w:r w:rsidR="00A01BAB" w:rsidRPr="00A01BAB">
        <w:rPr>
          <w:noProof/>
          <w:color w:val="333333"/>
          <w:sz w:val="20"/>
        </w:rPr>
        <w:t>1973</w:t>
      </w:r>
    </w:fldSimple>
  </w:p>
  <w:p w:rsidR="00601A75" w:rsidRPr="005B5AC4" w:rsidRDefault="00601A75" w:rsidP="00B05649">
    <w:pPr>
      <w:pStyle w:val="Piedepgina"/>
      <w:tabs>
        <w:tab w:val="left" w:pos="3565"/>
      </w:tabs>
      <w:rPr>
        <w:rStyle w:val="Nmerodepgina"/>
        <w:color w:val="333333"/>
      </w:rPr>
    </w:pPr>
    <w:r w:rsidRPr="005B5AC4">
      <w:rPr>
        <w:color w:val="333333"/>
        <w:sz w:val="20"/>
      </w:rPr>
      <w:tab/>
      <w:t>Pág.</w:t>
    </w:r>
    <w:r w:rsidRPr="005B5AC4">
      <w:rPr>
        <w:color w:val="333333"/>
      </w:rPr>
      <w:t xml:space="preserve"> </w:t>
    </w:r>
    <w:r w:rsidR="0030487F" w:rsidRPr="005B5AC4">
      <w:rPr>
        <w:rStyle w:val="Nmerodepgina"/>
        <w:color w:val="333333"/>
      </w:rPr>
      <w:fldChar w:fldCharType="begin"/>
    </w:r>
    <w:r w:rsidRPr="005B5AC4">
      <w:rPr>
        <w:rStyle w:val="Nmerodepgina"/>
        <w:color w:val="333333"/>
      </w:rPr>
      <w:instrText xml:space="preserve"> PAGE </w:instrText>
    </w:r>
    <w:r w:rsidR="0030487F" w:rsidRPr="005B5AC4">
      <w:rPr>
        <w:rStyle w:val="Nmerodepgina"/>
        <w:color w:val="333333"/>
      </w:rPr>
      <w:fldChar w:fldCharType="separate"/>
    </w:r>
    <w:r w:rsidR="00A01BAB">
      <w:rPr>
        <w:rStyle w:val="Nmerodepgina"/>
        <w:noProof/>
        <w:color w:val="333333"/>
      </w:rPr>
      <w:t>4</w:t>
    </w:r>
    <w:r w:rsidR="0030487F" w:rsidRPr="005B5AC4">
      <w:rPr>
        <w:rStyle w:val="Nmerodepgina"/>
        <w:color w:val="333333"/>
      </w:rPr>
      <w:fldChar w:fldCharType="end"/>
    </w:r>
    <w:r w:rsidRPr="005B5AC4">
      <w:rPr>
        <w:rStyle w:val="Nmerodepgina"/>
        <w:color w:val="333333"/>
      </w:rPr>
      <w:t>/</w:t>
    </w:r>
    <w:fldSimple w:instr=" NUMPAGES  \* MERGEFORMAT ">
      <w:r w:rsidR="00A01BAB" w:rsidRPr="00A01BAB">
        <w:rPr>
          <w:rStyle w:val="Nmerodepgina"/>
          <w:noProof/>
          <w:color w:val="333333"/>
        </w:rPr>
        <w:t>4</w:t>
      </w:r>
    </w:fldSimple>
    <w:r w:rsidRPr="005B5AC4">
      <w:rPr>
        <w:rStyle w:val="Nmerodepgina"/>
        <w:color w:val="333333"/>
      </w:rPr>
      <w:t xml:space="preserve"> </w:t>
    </w:r>
  </w:p>
  <w:p w:rsidR="00601A75" w:rsidRPr="005B5A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94D" w:rsidRDefault="00E1094D">
      <w:r>
        <w:separator/>
      </w:r>
    </w:p>
  </w:footnote>
  <w:footnote w:type="continuationSeparator" w:id="0">
    <w:p w:rsidR="00E1094D" w:rsidRDefault="00E109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1094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rsids>
    <w:rsidRoot w:val="009020F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701"/>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487F"/>
    <w:rsid w:val="00305DD1"/>
    <w:rsid w:val="003145ED"/>
    <w:rsid w:val="00315C77"/>
    <w:rsid w:val="0033168A"/>
    <w:rsid w:val="00335CD9"/>
    <w:rsid w:val="00340F54"/>
    <w:rsid w:val="0035681D"/>
    <w:rsid w:val="00370B94"/>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5AC4"/>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20FB"/>
    <w:rsid w:val="00906685"/>
    <w:rsid w:val="00910E0F"/>
    <w:rsid w:val="0091690E"/>
    <w:rsid w:val="00947238"/>
    <w:rsid w:val="009624FC"/>
    <w:rsid w:val="0096461D"/>
    <w:rsid w:val="009953AF"/>
    <w:rsid w:val="00996E34"/>
    <w:rsid w:val="009A6E2B"/>
    <w:rsid w:val="009B4FAC"/>
    <w:rsid w:val="009C20D3"/>
    <w:rsid w:val="009E5835"/>
    <w:rsid w:val="009F4E01"/>
    <w:rsid w:val="00A01BAB"/>
    <w:rsid w:val="00A06A2B"/>
    <w:rsid w:val="00A07090"/>
    <w:rsid w:val="00A07963"/>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1CF4"/>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080D"/>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094D"/>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96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07963"/>
    <w:pPr>
      <w:ind w:left="3686"/>
    </w:pPr>
  </w:style>
  <w:style w:type="paragraph" w:styleId="Encabezado">
    <w:name w:val="header"/>
    <w:basedOn w:val="Normal"/>
    <w:link w:val="EncabezadoCar"/>
    <w:uiPriority w:val="99"/>
    <w:rsid w:val="00A07963"/>
    <w:pPr>
      <w:tabs>
        <w:tab w:val="center" w:pos="4419"/>
        <w:tab w:val="right" w:pos="8838"/>
      </w:tabs>
    </w:pPr>
  </w:style>
  <w:style w:type="paragraph" w:styleId="Piedepgina">
    <w:name w:val="footer"/>
    <w:basedOn w:val="Normal"/>
    <w:rsid w:val="00A07963"/>
    <w:pPr>
      <w:tabs>
        <w:tab w:val="center" w:pos="4419"/>
        <w:tab w:val="right" w:pos="8838"/>
      </w:tabs>
    </w:pPr>
  </w:style>
  <w:style w:type="character" w:styleId="Nmerodepgina">
    <w:name w:val="page number"/>
    <w:basedOn w:val="Fuentedeprrafopredeter"/>
    <w:rsid w:val="00A0796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020FB"/>
    <w:rPr>
      <w:rFonts w:ascii="Tahoma" w:hAnsi="Tahoma" w:cs="Tahoma"/>
      <w:sz w:val="16"/>
      <w:szCs w:val="16"/>
    </w:rPr>
  </w:style>
  <w:style w:type="character" w:customStyle="1" w:styleId="TextodegloboCar">
    <w:name w:val="Texto de globo Car"/>
    <w:basedOn w:val="Fuentedeprrafopredeter"/>
    <w:link w:val="Textodeglobo"/>
    <w:uiPriority w:val="99"/>
    <w:semiHidden/>
    <w:rsid w:val="009020FB"/>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C908DA-C040-42DE-8707-9C00ABE6F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1971</Words>
  <Characters>11137</Characters>
  <Application>Microsoft Office Word</Application>
  <DocSecurity>0</DocSecurity>
  <Lines>247</Lines>
  <Paragraphs>55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mazungri</cp:lastModifiedBy>
  <cp:revision>4</cp:revision>
  <cp:lastPrinted>2022-03-22T11:49:00Z</cp:lastPrinted>
  <dcterms:created xsi:type="dcterms:W3CDTF">2022-03-21T11:51:00Z</dcterms:created>
  <dcterms:modified xsi:type="dcterms:W3CDTF">2022-03-22T11:50:00Z</dcterms:modified>
</cp:coreProperties>
</file>