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3173" w:rsidRPr="00A43173" w:rsidRDefault="00A43173" w:rsidP="00A43173">
      <w:pPr>
        <w:spacing w:before="240" w:after="240"/>
        <w:jc w:val="center"/>
        <w:rPr>
          <w:szCs w:val="24"/>
          <w:lang w:val="es-ES"/>
        </w:rPr>
      </w:pPr>
      <w:r w:rsidRPr="00A43173">
        <w:rPr>
          <w:b/>
          <w:bCs/>
          <w:color w:val="000000"/>
          <w:sz w:val="22"/>
          <w:szCs w:val="22"/>
          <w:lang w:val="es-ES"/>
        </w:rPr>
        <w:t>PROYECTO DE DECLARACIÓN</w:t>
      </w:r>
    </w:p>
    <w:p w:rsidR="00A43173" w:rsidRPr="00A43173" w:rsidRDefault="00A43173" w:rsidP="00A43173">
      <w:pPr>
        <w:spacing w:before="240" w:after="240"/>
        <w:rPr>
          <w:szCs w:val="24"/>
          <w:lang w:val="es-ES"/>
        </w:rPr>
      </w:pPr>
      <w:r w:rsidRPr="00A43173">
        <w:rPr>
          <w:color w:val="000000"/>
          <w:sz w:val="22"/>
          <w:szCs w:val="22"/>
          <w:lang w:val="es-ES"/>
        </w:rPr>
        <w:t>  </w:t>
      </w:r>
    </w:p>
    <w:p w:rsidR="00A43173" w:rsidRPr="00A43173" w:rsidRDefault="00A43173" w:rsidP="00A43173">
      <w:pPr>
        <w:spacing w:before="240" w:after="240"/>
        <w:rPr>
          <w:szCs w:val="24"/>
          <w:lang w:val="es-ES"/>
        </w:rPr>
      </w:pPr>
      <w:r w:rsidRPr="00A43173">
        <w:rPr>
          <w:color w:val="000000"/>
          <w:sz w:val="22"/>
          <w:szCs w:val="22"/>
          <w:lang w:val="es-ES"/>
        </w:rPr>
        <w:t>La Legislatura de la Ciudad de Buenos Aires conmemora el Día del Exiliado Español que se celebra el 14 de abril de cada año.   </w:t>
      </w:r>
    </w:p>
    <w:p w:rsidR="00A43173" w:rsidRPr="00A43173" w:rsidRDefault="00A43173" w:rsidP="00A43173">
      <w:pPr>
        <w:spacing w:after="240"/>
        <w:jc w:val="left"/>
        <w:rPr>
          <w:szCs w:val="24"/>
          <w:lang w:val="es-ES"/>
        </w:rPr>
      </w:pP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r w:rsidRPr="00A43173">
        <w:rPr>
          <w:szCs w:val="24"/>
          <w:lang w:val="es-ES"/>
        </w:rPr>
        <w:br/>
      </w:r>
    </w:p>
    <w:p w:rsidR="00A43173" w:rsidRDefault="00A43173" w:rsidP="00A43173">
      <w:pPr>
        <w:spacing w:before="240" w:after="240"/>
        <w:jc w:val="left"/>
        <w:rPr>
          <w:color w:val="000000"/>
          <w:sz w:val="22"/>
          <w:lang w:val="es-ES"/>
        </w:rPr>
      </w:pPr>
      <w:r w:rsidRPr="00A43173">
        <w:rPr>
          <w:b/>
          <w:bCs/>
          <w:color w:val="000000"/>
          <w:sz w:val="22"/>
          <w:szCs w:val="22"/>
          <w:lang w:val="es-ES"/>
        </w:rPr>
        <w:t> </w:t>
      </w:r>
      <w:r w:rsidRPr="00A43173">
        <w:rPr>
          <w:b/>
          <w:bCs/>
          <w:color w:val="000000"/>
          <w:sz w:val="22"/>
          <w:lang w:val="es-ES"/>
        </w:rPr>
        <w:tab/>
      </w:r>
      <w:r w:rsidRPr="00A43173">
        <w:rPr>
          <w:b/>
          <w:bCs/>
          <w:color w:val="000000"/>
          <w:sz w:val="22"/>
          <w:lang w:val="es-ES"/>
        </w:rPr>
        <w:tab/>
      </w:r>
      <w:r w:rsidRPr="00A43173">
        <w:rPr>
          <w:color w:val="000000"/>
          <w:sz w:val="22"/>
          <w:lang w:val="es-ES"/>
        </w:rPr>
        <w:tab/>
      </w:r>
      <w:r w:rsidRPr="00A43173">
        <w:rPr>
          <w:color w:val="000000"/>
          <w:sz w:val="22"/>
          <w:lang w:val="es-ES"/>
        </w:rPr>
        <w:tab/>
      </w:r>
      <w:r w:rsidRPr="00A43173">
        <w:rPr>
          <w:color w:val="000000"/>
          <w:sz w:val="22"/>
          <w:lang w:val="es-ES"/>
        </w:rPr>
        <w:tab/>
      </w: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Default="00A43173" w:rsidP="00A43173">
      <w:pPr>
        <w:spacing w:before="240" w:after="240"/>
        <w:jc w:val="left"/>
        <w:rPr>
          <w:color w:val="000000"/>
          <w:sz w:val="22"/>
          <w:lang w:val="es-ES"/>
        </w:rPr>
      </w:pPr>
    </w:p>
    <w:p w:rsidR="00A43173" w:rsidRPr="00A43173" w:rsidRDefault="00A43173" w:rsidP="00A43173">
      <w:pPr>
        <w:spacing w:before="240" w:after="240"/>
        <w:jc w:val="left"/>
        <w:rPr>
          <w:szCs w:val="24"/>
          <w:lang w:val="es-ES"/>
        </w:rPr>
      </w:pPr>
      <w:r>
        <w:rPr>
          <w:color w:val="000000"/>
          <w:sz w:val="22"/>
          <w:lang w:val="es-ES"/>
        </w:rPr>
        <w:lastRenderedPageBreak/>
        <w:tab/>
      </w:r>
      <w:r>
        <w:rPr>
          <w:color w:val="000000"/>
          <w:sz w:val="22"/>
          <w:lang w:val="es-ES"/>
        </w:rPr>
        <w:tab/>
      </w:r>
      <w:r>
        <w:rPr>
          <w:color w:val="000000"/>
          <w:sz w:val="22"/>
          <w:lang w:val="es-ES"/>
        </w:rPr>
        <w:tab/>
      </w:r>
      <w:r>
        <w:rPr>
          <w:color w:val="000000"/>
          <w:sz w:val="22"/>
          <w:lang w:val="es-ES"/>
        </w:rPr>
        <w:tab/>
      </w:r>
      <w:r>
        <w:rPr>
          <w:color w:val="000000"/>
          <w:sz w:val="22"/>
          <w:lang w:val="es-ES"/>
        </w:rPr>
        <w:tab/>
      </w:r>
      <w:r w:rsidRPr="00A43173">
        <w:rPr>
          <w:b/>
          <w:bCs/>
          <w:color w:val="000000"/>
          <w:sz w:val="22"/>
          <w:szCs w:val="22"/>
          <w:lang w:val="es-ES"/>
        </w:rPr>
        <w:t>FUNDAMENTOS </w:t>
      </w:r>
    </w:p>
    <w:p w:rsidR="00A43173" w:rsidRPr="00A43173" w:rsidRDefault="00A43173" w:rsidP="00A43173">
      <w:pPr>
        <w:jc w:val="left"/>
        <w:rPr>
          <w:szCs w:val="24"/>
          <w:lang w:val="es-ES"/>
        </w:rPr>
      </w:pPr>
    </w:p>
    <w:p w:rsidR="00A43173" w:rsidRPr="00A43173" w:rsidRDefault="00A43173" w:rsidP="00A43173">
      <w:pPr>
        <w:spacing w:before="240" w:after="240"/>
        <w:ind w:firstLine="700"/>
        <w:rPr>
          <w:szCs w:val="24"/>
          <w:lang w:val="es-ES"/>
        </w:rPr>
      </w:pPr>
      <w:r w:rsidRPr="00A43173">
        <w:rPr>
          <w:color w:val="000000"/>
          <w:sz w:val="22"/>
          <w:szCs w:val="22"/>
          <w:lang w:val="es-ES"/>
        </w:rPr>
        <w:t>Los crímenes del franquismo fueron cometidos en una línea de continuidad con los años tumultuosos de la guerra civil española, tras el golpe de Estado contra el gobierno republicano que llevaba en el poder desde el 14 de abril de 1931, y constituyeron lo que se denominó “el genocidio español”.</w:t>
      </w:r>
    </w:p>
    <w:p w:rsidR="00A43173" w:rsidRPr="00A43173" w:rsidRDefault="00A43173" w:rsidP="00A43173">
      <w:pPr>
        <w:spacing w:before="240" w:after="240"/>
        <w:ind w:firstLine="700"/>
        <w:rPr>
          <w:szCs w:val="24"/>
          <w:lang w:val="es-ES"/>
        </w:rPr>
      </w:pPr>
      <w:r w:rsidRPr="00A43173">
        <w:rPr>
          <w:color w:val="000000"/>
          <w:sz w:val="22"/>
          <w:szCs w:val="22"/>
          <w:lang w:val="es-ES"/>
        </w:rPr>
        <w:t>Las personas identificadas como republicanas (llamados “rojos” por el bando franquista) defendían el carácter democrático por el que la Segunda República se había instaurado, y rechazaban el sistema monárquico que ya había gobernado en España,apelaban a un Estado plurinacional, la defensa de las libertades y los derechos civiles contra los lemas del franquismo. </w:t>
      </w:r>
    </w:p>
    <w:p w:rsidR="00A43173" w:rsidRPr="00A43173" w:rsidRDefault="00A43173" w:rsidP="00A43173">
      <w:pPr>
        <w:spacing w:before="240" w:after="240"/>
        <w:ind w:firstLine="700"/>
        <w:rPr>
          <w:szCs w:val="24"/>
          <w:lang w:val="es-ES"/>
        </w:rPr>
      </w:pPr>
      <w:r w:rsidRPr="00A43173">
        <w:rPr>
          <w:color w:val="000000"/>
          <w:sz w:val="22"/>
          <w:szCs w:val="22"/>
          <w:lang w:val="es-ES"/>
        </w:rPr>
        <w:t>Los delitos denunciados siguen impunes en virtud de una ley de amnistía, firmada en 1977 tras la muerte de Francisco Franco, lo cual impide que los responsables sean juzgados.</w:t>
      </w:r>
    </w:p>
    <w:p w:rsidR="00A43173" w:rsidRPr="00A43173" w:rsidRDefault="00A43173" w:rsidP="00A43173">
      <w:pPr>
        <w:spacing w:before="240" w:after="240"/>
        <w:ind w:firstLine="700"/>
        <w:rPr>
          <w:szCs w:val="24"/>
          <w:lang w:val="es-ES"/>
        </w:rPr>
      </w:pPr>
      <w:r w:rsidRPr="00A43173">
        <w:rPr>
          <w:color w:val="000000"/>
          <w:sz w:val="22"/>
          <w:szCs w:val="22"/>
          <w:lang w:val="es-ES"/>
        </w:rPr>
        <w:t>En España no se ha logrado un reconocimiento desde el Estado de los delitos y de sus víctimas de las y los que lo padecieron. Por otra parte, en Argentina un grupo de personas invocando el principio de “justicia universal”, pudieron abrir una causa judicial, conseguir visibilidad, apoyo y cierta legitimación. Se trata de familiares de asesinados y desaparecidos durante la dictadura franquista, quienes han contado con el apoyo de diversas asociaciones españolas y argentinas. Sus protagonistas principales son Darío Rivas, por el fusilamiento de su padre, Inés García Holgado, por la muerte de su tío-abuelo, y Adriana Fernandez, por el asesinato de su abuelo.</w:t>
      </w:r>
    </w:p>
    <w:p w:rsidR="00A43173" w:rsidRPr="00A43173" w:rsidRDefault="00A43173" w:rsidP="00A43173">
      <w:pPr>
        <w:spacing w:before="240" w:after="240"/>
        <w:ind w:firstLine="700"/>
        <w:rPr>
          <w:szCs w:val="24"/>
          <w:lang w:val="es-ES"/>
        </w:rPr>
      </w:pPr>
      <w:r w:rsidRPr="00A43173">
        <w:rPr>
          <w:color w:val="000000"/>
          <w:sz w:val="22"/>
          <w:szCs w:val="22"/>
          <w:lang w:val="es-ES"/>
        </w:rPr>
        <w:t>La importancia del reconocimiento de las víctimas reside en el valor de sus relatos y experiencias, los cuales son significativos testimonios para la reconstrucción de la historia. A partir de la ruptura del silencio, las víctimas pueden empezar a encontrar memoria, verdad, justicia y reparación. El reconocimiento social y jurídico de la existencia de la condición de víctima supuso la elaboración de una serie de derechos concretos que apuntan, según las normas internacionales de derechos humanos y del derecho internacional humanitario a saber la verdad, a obtener justicia y a ser reparadas por el daño sufrido.</w:t>
      </w:r>
    </w:p>
    <w:p w:rsidR="00A43173" w:rsidRPr="00A43173" w:rsidRDefault="00A43173" w:rsidP="00A43173">
      <w:pPr>
        <w:jc w:val="left"/>
        <w:rPr>
          <w:szCs w:val="24"/>
          <w:lang w:val="es-ES"/>
        </w:rPr>
      </w:pPr>
      <w:r w:rsidRPr="00A43173">
        <w:rPr>
          <w:color w:val="000000"/>
          <w:sz w:val="22"/>
          <w:szCs w:val="22"/>
          <w:lang w:val="es-ES"/>
        </w:rPr>
        <w:t xml:space="preserve">Por todo lo expuesto solicitamos la aprobación del proyecto de declaración. </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6BA8" w:rsidRDefault="00BA6BA8">
      <w:r>
        <w:separator/>
      </w:r>
    </w:p>
  </w:endnote>
  <w:endnote w:type="continuationSeparator" w:id="1">
    <w:p w:rsidR="00BA6BA8" w:rsidRDefault="00BA6B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43173" w:rsidRPr="00A43173">
        <w:rPr>
          <w:noProof/>
          <w:color w:val="333333"/>
          <w:sz w:val="20"/>
        </w:rPr>
        <w:t>00/00/0000 0:00:00</w:t>
      </w:r>
    </w:fldSimple>
    <w:r w:rsidRPr="001C19C4">
      <w:rPr>
        <w:color w:val="333333"/>
        <w:sz w:val="20"/>
      </w:rPr>
      <w:t xml:space="preserve">  -  Cantidad de caracteres: </w:t>
    </w:r>
    <w:fldSimple w:instr=" NUMCHARS  \* MERGEFORMAT ">
      <w:r w:rsidR="00A43173" w:rsidRPr="00A43173">
        <w:rPr>
          <w:noProof/>
          <w:color w:val="333333"/>
          <w:sz w:val="20"/>
        </w:rPr>
        <w:t>1982</w:t>
      </w:r>
    </w:fldSimple>
    <w:r w:rsidRPr="001C19C4">
      <w:rPr>
        <w:color w:val="333333"/>
        <w:sz w:val="20"/>
      </w:rPr>
      <w:t xml:space="preserve"> - Cantidad de palabras: </w:t>
    </w:r>
    <w:fldSimple w:instr=" NUMWORDS  \* MERGEFORMAT ">
      <w:r w:rsidR="00A43173" w:rsidRPr="00A43173">
        <w:rPr>
          <w:noProof/>
          <w:color w:val="333333"/>
          <w:sz w:val="20"/>
        </w:rPr>
        <w:t>372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F6C37" w:rsidRPr="001C19C4">
      <w:rPr>
        <w:rStyle w:val="Nmerodepgina"/>
        <w:color w:val="333333"/>
      </w:rPr>
      <w:fldChar w:fldCharType="begin"/>
    </w:r>
    <w:r w:rsidRPr="001C19C4">
      <w:rPr>
        <w:rStyle w:val="Nmerodepgina"/>
        <w:color w:val="333333"/>
      </w:rPr>
      <w:instrText xml:space="preserve"> PAGE </w:instrText>
    </w:r>
    <w:r w:rsidR="008F6C37" w:rsidRPr="001C19C4">
      <w:rPr>
        <w:rStyle w:val="Nmerodepgina"/>
        <w:color w:val="333333"/>
      </w:rPr>
      <w:fldChar w:fldCharType="separate"/>
    </w:r>
    <w:r w:rsidR="00A43173">
      <w:rPr>
        <w:rStyle w:val="Nmerodepgina"/>
        <w:noProof/>
        <w:color w:val="333333"/>
      </w:rPr>
      <w:t>2</w:t>
    </w:r>
    <w:r w:rsidR="008F6C37" w:rsidRPr="001C19C4">
      <w:rPr>
        <w:rStyle w:val="Nmerodepgina"/>
        <w:color w:val="333333"/>
      </w:rPr>
      <w:fldChar w:fldCharType="end"/>
    </w:r>
    <w:r w:rsidRPr="001C19C4">
      <w:rPr>
        <w:rStyle w:val="Nmerodepgina"/>
        <w:color w:val="333333"/>
      </w:rPr>
      <w:t>/</w:t>
    </w:r>
    <w:fldSimple w:instr=" NUMPAGES  \* MERGEFORMAT ">
      <w:r w:rsidR="00A43173" w:rsidRPr="00A43173">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6BA8" w:rsidRDefault="00BA6BA8">
      <w:r>
        <w:separator/>
      </w:r>
    </w:p>
  </w:footnote>
  <w:footnote w:type="continuationSeparator" w:id="1">
    <w:p w:rsidR="00BA6BA8" w:rsidRDefault="00BA6B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A6BA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6C37"/>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173"/>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6BA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A43173"/>
    <w:pPr>
      <w:spacing w:before="100" w:beforeAutospacing="1" w:after="100" w:afterAutospacing="1"/>
      <w:jc w:val="left"/>
    </w:pPr>
    <w:rPr>
      <w:szCs w:val="24"/>
      <w:lang w:val="es-ES"/>
    </w:rPr>
  </w:style>
  <w:style w:type="character" w:customStyle="1" w:styleId="apple-tab-span">
    <w:name w:val="apple-tab-span"/>
    <w:basedOn w:val="Fuentedeprrafopredeter"/>
    <w:rsid w:val="00A43173"/>
  </w:style>
</w:styles>
</file>

<file path=word/webSettings.xml><?xml version="1.0" encoding="utf-8"?>
<w:webSettings xmlns:r="http://schemas.openxmlformats.org/officeDocument/2006/relationships" xmlns:w="http://schemas.openxmlformats.org/wordprocessingml/2006/main">
  <w:divs>
    <w:div w:id="1846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(5)</Template>
  <TotalTime>1</TotalTime>
  <Pages>2</Pages>
  <Words>372</Words>
  <Characters>1982</Characters>
  <Application>Microsoft Office Word</Application>
  <DocSecurity>0</DocSecurity>
  <Lines>68</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iglitvin</dc:creator>
  <cp:lastModifiedBy>iglitvin</cp:lastModifiedBy>
  <cp:revision>1</cp:revision>
  <cp:lastPrinted>2020-02-28T17:24:00Z</cp:lastPrinted>
  <dcterms:created xsi:type="dcterms:W3CDTF">2022-03-28T13:08:00Z</dcterms:created>
  <dcterms:modified xsi:type="dcterms:W3CDTF">2022-03-28T13:09:00Z</dcterms:modified>
</cp:coreProperties>
</file>