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EBB" w:rsidRDefault="00EE7EBB" w:rsidP="00EE7EBB">
      <w:pPr>
        <w:jc w:val="center"/>
        <w:rPr>
          <w:b/>
        </w:rPr>
      </w:pPr>
      <w:r>
        <w:rPr>
          <w:b/>
        </w:rPr>
        <w:t>PROYECTO DE RESOLUCIÓN</w:t>
      </w:r>
    </w:p>
    <w:p w:rsidR="00EE7EBB" w:rsidRDefault="00EE7EBB" w:rsidP="00EE7EBB">
      <w:pPr>
        <w:rPr>
          <w:b/>
        </w:rPr>
      </w:pPr>
    </w:p>
    <w:p w:rsidR="00EE7EBB" w:rsidRDefault="00EE7EBB" w:rsidP="00EE7EBB">
      <w:pPr>
        <w:spacing w:line="360" w:lineRule="auto"/>
      </w:pPr>
      <w:bookmarkStart w:id="0" w:name="_heading=h.gjdgxs" w:colFirst="0" w:colLast="0"/>
      <w:bookmarkEnd w:id="0"/>
      <w:r>
        <w:rPr>
          <w:b/>
        </w:rPr>
        <w:t>Artículo 1°. -</w:t>
      </w:r>
      <w:r>
        <w:t xml:space="preserve"> El Poder Ejecutivo informará, en virtud de las facultades conferidas por el Art. 83 Inc. 3 de la Constitución de la C.A.B.A., a través de los organismos correspondientes, dentro de los 30 (treinta) días de recibida la presente, sobre los siguientes puntos relacionados a la participación ciudadana y el impacto comunal del “Plan La Transformación no para”:</w:t>
      </w:r>
    </w:p>
    <w:p w:rsidR="00EE7EBB" w:rsidRDefault="00EE7EBB" w:rsidP="00EE7EBB">
      <w:pPr>
        <w:spacing w:line="360" w:lineRule="auto"/>
      </w:pPr>
    </w:p>
    <w:p w:rsidR="00EE7EBB" w:rsidRDefault="00EE7EBB" w:rsidP="00EE7EBB">
      <w:pPr>
        <w:numPr>
          <w:ilvl w:val="0"/>
          <w:numId w:val="1"/>
        </w:numPr>
        <w:spacing w:line="360" w:lineRule="auto"/>
        <w:ind w:left="720" w:hanging="360"/>
      </w:pPr>
      <w:r>
        <w:t xml:space="preserve">Informe cuál es la autoridad de aplicación del “Plan La Transformación no para”. En caso de ser más de un organismo, detalle los mismos precisando quién lleva a cargo la coordinación de las acciones. Envíe documentación administrativa, detallando la planificación, duración estimada (inicio y finalización de obras) y metas físicas cuantificables. </w:t>
      </w:r>
    </w:p>
    <w:p w:rsidR="00EE7EBB" w:rsidRDefault="00EE7EBB" w:rsidP="00EE7EBB">
      <w:pPr>
        <w:spacing w:line="360" w:lineRule="auto"/>
        <w:ind w:left="644"/>
      </w:pPr>
    </w:p>
    <w:p w:rsidR="00EE7EBB" w:rsidRDefault="00EE7EBB" w:rsidP="00EE7EBB">
      <w:pPr>
        <w:numPr>
          <w:ilvl w:val="0"/>
          <w:numId w:val="1"/>
        </w:numPr>
        <w:pBdr>
          <w:top w:val="nil"/>
          <w:left w:val="nil"/>
          <w:bottom w:val="nil"/>
          <w:right w:val="nil"/>
          <w:between w:val="nil"/>
        </w:pBdr>
        <w:spacing w:line="360" w:lineRule="auto"/>
        <w:ind w:left="720" w:hanging="360"/>
        <w:rPr>
          <w:color w:val="000000"/>
        </w:rPr>
      </w:pPr>
      <w:r>
        <w:rPr>
          <w:color w:val="000000"/>
        </w:rPr>
        <w:t xml:space="preserve">Detalle las partidas presupuestarias y </w:t>
      </w:r>
      <w:r>
        <w:t>j</w:t>
      </w:r>
      <w:r>
        <w:rPr>
          <w:color w:val="000000"/>
        </w:rPr>
        <w:t xml:space="preserve">urisdicción/es alcanzadas por el citado </w:t>
      </w:r>
      <w:r>
        <w:t>p</w:t>
      </w:r>
      <w:r>
        <w:rPr>
          <w:color w:val="000000"/>
        </w:rPr>
        <w:t xml:space="preserve">lan. Indique rubros, montos, conceptos y metas físicas de los recursos que contempló la puesta en funcionamiento del </w:t>
      </w:r>
      <w:r>
        <w:t>p</w:t>
      </w:r>
      <w:r>
        <w:rPr>
          <w:color w:val="000000"/>
        </w:rPr>
        <w:t xml:space="preserve">lan. </w:t>
      </w:r>
    </w:p>
    <w:p w:rsidR="00EE7EBB" w:rsidRDefault="00EE7EBB" w:rsidP="00EE7EBB">
      <w:pPr>
        <w:pBdr>
          <w:top w:val="nil"/>
          <w:left w:val="nil"/>
          <w:bottom w:val="nil"/>
          <w:right w:val="nil"/>
          <w:between w:val="nil"/>
        </w:pBdr>
        <w:spacing w:line="360" w:lineRule="auto"/>
        <w:ind w:left="644"/>
      </w:pPr>
    </w:p>
    <w:p w:rsidR="00EE7EBB" w:rsidRDefault="00EE7EBB" w:rsidP="00EE7EBB">
      <w:pPr>
        <w:numPr>
          <w:ilvl w:val="0"/>
          <w:numId w:val="1"/>
        </w:numPr>
        <w:pBdr>
          <w:top w:val="nil"/>
          <w:left w:val="nil"/>
          <w:bottom w:val="nil"/>
          <w:right w:val="nil"/>
          <w:between w:val="nil"/>
        </w:pBdr>
        <w:spacing w:line="360" w:lineRule="auto"/>
        <w:ind w:left="720" w:hanging="360"/>
        <w:rPr>
          <w:color w:val="000000"/>
        </w:rPr>
      </w:pPr>
      <w:r>
        <w:rPr>
          <w:color w:val="000000"/>
        </w:rPr>
        <w:t xml:space="preserve">Enumere las instancias de participación estimadas (tipo, cantidad, fechas, criterio de convocatoria, temario, entre otros) </w:t>
      </w:r>
      <w:r>
        <w:t xml:space="preserve">relativo al establecimiento de prioridades y formas de tratamiento de los proyectos/obras en cuestión. </w:t>
      </w:r>
    </w:p>
    <w:p w:rsidR="00EE7EBB" w:rsidRDefault="00EE7EBB" w:rsidP="00EE7EBB">
      <w:pPr>
        <w:pBdr>
          <w:top w:val="nil"/>
          <w:left w:val="nil"/>
          <w:bottom w:val="nil"/>
          <w:right w:val="nil"/>
          <w:between w:val="nil"/>
        </w:pBdr>
        <w:spacing w:line="360" w:lineRule="auto"/>
        <w:ind w:left="708"/>
      </w:pPr>
      <w:r>
        <w:tab/>
        <w:t xml:space="preserve">En caso de no contemplar instancias de participación ciudadana por proyectos con impacto comunal detalle los motivos y enumere por comuna: Tipo de proyecto, tema, presupuesto proyectado, estudio de impacto ambiental, cantidad de población alcanzada y, de corresponder, m2 de impacto. </w:t>
      </w:r>
    </w:p>
    <w:p w:rsidR="00EE7EBB" w:rsidRDefault="00EE7EBB" w:rsidP="00EE7EBB">
      <w:pPr>
        <w:pBdr>
          <w:top w:val="nil"/>
          <w:left w:val="nil"/>
          <w:bottom w:val="nil"/>
          <w:right w:val="nil"/>
          <w:between w:val="nil"/>
        </w:pBdr>
        <w:spacing w:line="360" w:lineRule="auto"/>
        <w:ind w:left="708"/>
      </w:pPr>
    </w:p>
    <w:p w:rsidR="00EE7EBB" w:rsidRDefault="00EE7EBB" w:rsidP="00EE7EBB">
      <w:pPr>
        <w:numPr>
          <w:ilvl w:val="0"/>
          <w:numId w:val="1"/>
        </w:numPr>
        <w:pBdr>
          <w:top w:val="nil"/>
          <w:left w:val="nil"/>
          <w:bottom w:val="nil"/>
          <w:right w:val="nil"/>
          <w:between w:val="nil"/>
        </w:pBdr>
        <w:spacing w:line="360" w:lineRule="auto"/>
        <w:ind w:left="720" w:hanging="360"/>
        <w:rPr>
          <w:color w:val="000000"/>
        </w:rPr>
      </w:pPr>
      <w:r>
        <w:rPr>
          <w:color w:val="000000"/>
        </w:rPr>
        <w:t xml:space="preserve">Informe el rol de las Juntas Comunales y Consejos Consultivos Comunales para la elaboración de las metas, propuestas y acciones planteadas. Informe </w:t>
      </w:r>
      <w:r>
        <w:t>cuál</w:t>
      </w:r>
      <w:r>
        <w:rPr>
          <w:color w:val="000000"/>
        </w:rPr>
        <w:t xml:space="preserve"> es la instancia destinada a dichos organismos descentralizados y </w:t>
      </w:r>
      <w:r>
        <w:t>qué</w:t>
      </w:r>
      <w:r>
        <w:rPr>
          <w:color w:val="000000"/>
        </w:rPr>
        <w:t xml:space="preserve"> acciones se encuadran en las competencias exclusivas y concurrentes de las Juntas Comunales, así como las funciones de los Consejos Consultivos Comunales establecidas por la Ley 1.777. En caso afirmativo, envíe documentación respaldatoria. Detalle los mecanismos institucionales de implementación de las acciones de consulta y elaboración de propuestas en las instancias comunales. En caso de no haber sido convocados, detalle los motivos. </w:t>
      </w:r>
    </w:p>
    <w:p w:rsidR="00EE7EBB" w:rsidRDefault="00EE7EBB" w:rsidP="00EE7EBB">
      <w:pPr>
        <w:pBdr>
          <w:top w:val="nil"/>
          <w:left w:val="nil"/>
          <w:bottom w:val="nil"/>
          <w:right w:val="nil"/>
          <w:between w:val="nil"/>
        </w:pBdr>
        <w:spacing w:line="360" w:lineRule="auto"/>
        <w:ind w:left="644"/>
      </w:pPr>
    </w:p>
    <w:p w:rsidR="00EE7EBB" w:rsidRDefault="00EE7EBB" w:rsidP="00EE7EBB">
      <w:pPr>
        <w:numPr>
          <w:ilvl w:val="0"/>
          <w:numId w:val="1"/>
        </w:numPr>
        <w:pBdr>
          <w:top w:val="nil"/>
          <w:left w:val="nil"/>
          <w:bottom w:val="nil"/>
          <w:right w:val="nil"/>
          <w:between w:val="nil"/>
        </w:pBdr>
        <w:spacing w:line="360" w:lineRule="auto"/>
        <w:ind w:left="720" w:hanging="360"/>
        <w:rPr>
          <w:color w:val="000000"/>
        </w:rPr>
      </w:pPr>
      <w:r>
        <w:rPr>
          <w:color w:val="000000"/>
        </w:rPr>
        <w:t xml:space="preserve">Indique </w:t>
      </w:r>
      <w:r>
        <w:t>si los proyectos serán incluidos en la elaboración del presupuesto participativo a cargo de las</w:t>
      </w:r>
      <w:r>
        <w:rPr>
          <w:color w:val="000000"/>
        </w:rPr>
        <w:t xml:space="preserve"> Juntas </w:t>
      </w:r>
      <w:r>
        <w:t>C</w:t>
      </w:r>
      <w:r>
        <w:rPr>
          <w:color w:val="000000"/>
        </w:rPr>
        <w:t>omunales, previo paso por el Consejo Consultivo conforme a lo establecido por la Ley 1.777. En caso contrario, informe qui</w:t>
      </w:r>
      <w:r>
        <w:t>é</w:t>
      </w:r>
      <w:r>
        <w:rPr>
          <w:color w:val="000000"/>
        </w:rPr>
        <w:t>n realiza la presentación.</w:t>
      </w:r>
    </w:p>
    <w:p w:rsidR="00EE7EBB" w:rsidRDefault="00EE7EBB" w:rsidP="00EE7EBB">
      <w:pPr>
        <w:pBdr>
          <w:top w:val="nil"/>
          <w:left w:val="nil"/>
          <w:bottom w:val="nil"/>
          <w:right w:val="nil"/>
          <w:between w:val="nil"/>
        </w:pBdr>
        <w:spacing w:line="360" w:lineRule="auto"/>
        <w:ind w:left="644"/>
      </w:pPr>
    </w:p>
    <w:p w:rsidR="00EE7EBB" w:rsidRDefault="00EE7EBB" w:rsidP="00EE7EBB">
      <w:pPr>
        <w:numPr>
          <w:ilvl w:val="0"/>
          <w:numId w:val="1"/>
        </w:numPr>
        <w:pBdr>
          <w:top w:val="nil"/>
          <w:left w:val="nil"/>
          <w:bottom w:val="nil"/>
          <w:right w:val="nil"/>
          <w:between w:val="nil"/>
        </w:pBdr>
        <w:spacing w:line="360" w:lineRule="auto"/>
        <w:ind w:left="720" w:hanging="360"/>
      </w:pPr>
      <w:r>
        <w:t xml:space="preserve">Indique a qué se hace referencia cuando se menciona la descentralización de la cultura, qué acciones se llevarán adelante a esos fines, y qué instrumentos de delegación de competencias se han celebrado acorde al Art. 12 de la Ley Orgánica de Comunas, qué responsabilidades asumen las comunas en esa área y cuáles se reserva el GCBA. Envíe la documentación administrativa que lo respalde. </w:t>
      </w:r>
    </w:p>
    <w:p w:rsidR="00EE7EBB" w:rsidRDefault="00EE7EBB" w:rsidP="00EE7EBB">
      <w:pPr>
        <w:pBdr>
          <w:top w:val="nil"/>
          <w:left w:val="nil"/>
          <w:bottom w:val="nil"/>
          <w:right w:val="nil"/>
          <w:between w:val="nil"/>
        </w:pBdr>
        <w:spacing w:line="360" w:lineRule="auto"/>
        <w:ind w:left="644"/>
      </w:pPr>
    </w:p>
    <w:p w:rsidR="00EE7EBB" w:rsidRDefault="00EE7EBB" w:rsidP="00EE7EBB">
      <w:pPr>
        <w:numPr>
          <w:ilvl w:val="0"/>
          <w:numId w:val="1"/>
        </w:numPr>
        <w:pBdr>
          <w:top w:val="nil"/>
          <w:left w:val="nil"/>
          <w:bottom w:val="nil"/>
          <w:right w:val="nil"/>
          <w:between w:val="nil"/>
        </w:pBdr>
        <w:spacing w:line="360" w:lineRule="auto"/>
        <w:ind w:left="720" w:hanging="360"/>
      </w:pPr>
      <w:r>
        <w:t>Informe en qué áreas se realizarán las calles verdes y qué mecanismos de coordinación con las Juntas Comunales están contemplados para la decisión, contratación y ejecución de esas obras de acuerdo al Art. 11 inc. b de la LOC.</w:t>
      </w:r>
    </w:p>
    <w:p w:rsidR="00EE7EBB" w:rsidRDefault="00EE7EBB" w:rsidP="00EE7EBB">
      <w:pPr>
        <w:pBdr>
          <w:top w:val="nil"/>
          <w:left w:val="nil"/>
          <w:bottom w:val="nil"/>
          <w:right w:val="nil"/>
          <w:between w:val="nil"/>
        </w:pBdr>
        <w:spacing w:line="360" w:lineRule="auto"/>
        <w:ind w:left="644"/>
      </w:pPr>
      <w:r>
        <w:t xml:space="preserve"> </w:t>
      </w:r>
    </w:p>
    <w:p w:rsidR="00EE7EBB" w:rsidRDefault="00EE7EBB" w:rsidP="00EE7EBB">
      <w:pPr>
        <w:numPr>
          <w:ilvl w:val="0"/>
          <w:numId w:val="1"/>
        </w:numPr>
        <w:spacing w:line="360" w:lineRule="auto"/>
        <w:ind w:hanging="360"/>
      </w:pPr>
      <w:r>
        <w:t xml:space="preserve">Informe qué próximos distritos están en desarrollo o planificados, y si se tuvieron en cuenta los incisos “b” y “d” del Art. 11 de la LOC para avanzar en los mismos. Detalle los mecanismos de implementación. </w:t>
      </w:r>
    </w:p>
    <w:p w:rsidR="00EE7EBB" w:rsidRDefault="00EE7EBB" w:rsidP="00EE7EBB">
      <w:pPr>
        <w:pBdr>
          <w:top w:val="nil"/>
          <w:left w:val="nil"/>
          <w:bottom w:val="nil"/>
          <w:right w:val="nil"/>
          <w:between w:val="nil"/>
        </w:pBdr>
        <w:spacing w:line="360" w:lineRule="auto"/>
        <w:rPr>
          <w:b/>
        </w:rPr>
      </w:pPr>
    </w:p>
    <w:p w:rsidR="00EE7EBB" w:rsidRDefault="00EE7EBB" w:rsidP="00EE7EBB">
      <w:pPr>
        <w:pBdr>
          <w:top w:val="nil"/>
          <w:left w:val="nil"/>
          <w:bottom w:val="nil"/>
          <w:right w:val="nil"/>
          <w:between w:val="nil"/>
        </w:pBdr>
        <w:spacing w:line="360" w:lineRule="auto"/>
        <w:rPr>
          <w:color w:val="000000"/>
        </w:rPr>
      </w:pPr>
      <w:r>
        <w:rPr>
          <w:b/>
          <w:color w:val="000000"/>
        </w:rPr>
        <w:t xml:space="preserve">Art. </w:t>
      </w:r>
      <w:r>
        <w:rPr>
          <w:b/>
        </w:rPr>
        <w:t>2 ° .</w:t>
      </w:r>
      <w:r>
        <w:rPr>
          <w:b/>
          <w:color w:val="000000"/>
        </w:rPr>
        <w:t>-</w:t>
      </w:r>
      <w:r>
        <w:rPr>
          <w:color w:val="000000"/>
        </w:rPr>
        <w:t xml:space="preserve"> Comuníquese, etc.</w:t>
      </w:r>
    </w:p>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Default="00EE7EBB" w:rsidP="00EE7EBB"/>
    <w:p w:rsidR="00EE7EBB" w:rsidRPr="00EE7EBB" w:rsidRDefault="00EE7EBB" w:rsidP="00EE7EBB">
      <w:pPr>
        <w:jc w:val="center"/>
        <w:rPr>
          <w:b/>
        </w:rPr>
      </w:pPr>
      <w:r>
        <w:rPr>
          <w:b/>
          <w:color w:val="000000"/>
        </w:rPr>
        <w:lastRenderedPageBreak/>
        <w:t>FUNDAMENTOS</w:t>
      </w:r>
    </w:p>
    <w:p w:rsidR="00EE7EBB" w:rsidRDefault="00EE7EBB" w:rsidP="00EE7EBB">
      <w:pPr>
        <w:pBdr>
          <w:top w:val="nil"/>
          <w:left w:val="nil"/>
          <w:bottom w:val="nil"/>
          <w:right w:val="nil"/>
          <w:between w:val="nil"/>
        </w:pBdr>
        <w:spacing w:line="276" w:lineRule="auto"/>
        <w:jc w:val="left"/>
        <w:rPr>
          <w:b/>
          <w:color w:val="000000"/>
        </w:rPr>
      </w:pPr>
    </w:p>
    <w:p w:rsidR="00EE7EBB" w:rsidRDefault="00EE7EBB" w:rsidP="00EE7EBB">
      <w:pPr>
        <w:pBdr>
          <w:top w:val="nil"/>
          <w:left w:val="nil"/>
          <w:bottom w:val="nil"/>
          <w:right w:val="nil"/>
          <w:between w:val="nil"/>
        </w:pBdr>
        <w:spacing w:line="360" w:lineRule="auto"/>
        <w:rPr>
          <w:rFonts w:ascii="Arial" w:eastAsia="Arial" w:hAnsi="Arial" w:cs="Arial"/>
          <w:color w:val="000000"/>
          <w:sz w:val="22"/>
          <w:szCs w:val="22"/>
        </w:rPr>
      </w:pPr>
      <w:r>
        <w:rPr>
          <w:color w:val="000000"/>
        </w:rPr>
        <w:t xml:space="preserve">Señor Presidente: </w:t>
      </w:r>
    </w:p>
    <w:p w:rsidR="00EE7EBB" w:rsidRDefault="00EE7EBB" w:rsidP="00EE7EBB">
      <w:pPr>
        <w:pBdr>
          <w:top w:val="nil"/>
          <w:left w:val="nil"/>
          <w:bottom w:val="nil"/>
          <w:right w:val="nil"/>
          <w:between w:val="nil"/>
        </w:pBdr>
        <w:spacing w:line="360" w:lineRule="auto"/>
        <w:rPr>
          <w:color w:val="000000"/>
        </w:rPr>
      </w:pPr>
    </w:p>
    <w:p w:rsidR="00EE7EBB" w:rsidRDefault="00EE7EBB" w:rsidP="00EE7EBB">
      <w:pPr>
        <w:pBdr>
          <w:top w:val="nil"/>
          <w:left w:val="nil"/>
          <w:bottom w:val="nil"/>
          <w:right w:val="nil"/>
          <w:between w:val="nil"/>
        </w:pBdr>
        <w:spacing w:line="360" w:lineRule="auto"/>
        <w:ind w:firstLine="708"/>
        <w:rPr>
          <w:rFonts w:ascii="Arial" w:eastAsia="Arial" w:hAnsi="Arial" w:cs="Arial"/>
          <w:color w:val="000000"/>
          <w:sz w:val="22"/>
          <w:szCs w:val="22"/>
        </w:rPr>
      </w:pPr>
      <w:r>
        <w:t>En el presente</w:t>
      </w:r>
      <w:r>
        <w:rPr>
          <w:color w:val="000000"/>
        </w:rPr>
        <w:t xml:space="preserve"> proyecto de resolución nos proponemos conocer los objetivos y acciones del Gobierno de la Ciudad de Buenos Aires en </w:t>
      </w:r>
      <w:r>
        <w:t xml:space="preserve">lo que refiere </w:t>
      </w:r>
      <w:r>
        <w:rPr>
          <w:color w:val="000000"/>
        </w:rPr>
        <w:t xml:space="preserve">al </w:t>
      </w:r>
      <w:r>
        <w:t>p</w:t>
      </w:r>
      <w:r>
        <w:rPr>
          <w:color w:val="000000"/>
        </w:rPr>
        <w:t xml:space="preserve">lan: </w:t>
      </w:r>
      <w:r>
        <w:t>“L</w:t>
      </w:r>
      <w:r>
        <w:rPr>
          <w:color w:val="000000"/>
        </w:rPr>
        <w:t xml:space="preserve">a </w:t>
      </w:r>
      <w:r>
        <w:t>Transformación</w:t>
      </w:r>
      <w:r>
        <w:rPr>
          <w:color w:val="000000"/>
        </w:rPr>
        <w:t xml:space="preserve"> no para”, </w:t>
      </w:r>
      <w:r>
        <w:t xml:space="preserve">lanzado el 18 de marzo del corriente. </w:t>
      </w:r>
      <w:r>
        <w:rPr>
          <w:color w:val="000000"/>
        </w:rPr>
        <w:t xml:space="preserve"> </w:t>
      </w:r>
    </w:p>
    <w:p w:rsidR="00EE7EBB" w:rsidRDefault="00EE7EBB" w:rsidP="00EE7EBB">
      <w:pPr>
        <w:pBdr>
          <w:top w:val="nil"/>
          <w:left w:val="nil"/>
          <w:bottom w:val="nil"/>
          <w:right w:val="nil"/>
          <w:between w:val="nil"/>
        </w:pBdr>
        <w:spacing w:line="360" w:lineRule="auto"/>
        <w:ind w:firstLine="720"/>
        <w:rPr>
          <w:color w:val="000000"/>
        </w:rPr>
      </w:pPr>
      <w:r>
        <w:rPr>
          <w:color w:val="000000"/>
        </w:rPr>
        <w:t xml:space="preserve">Desde este cuerpo legislativo consideramos necesario </w:t>
      </w:r>
      <w:r>
        <w:t>estar al detalle de los pormenores del</w:t>
      </w:r>
      <w:r>
        <w:rPr>
          <w:color w:val="000000"/>
        </w:rPr>
        <w:t xml:space="preserve"> </w:t>
      </w:r>
      <w:r>
        <w:t>p</w:t>
      </w:r>
      <w:r>
        <w:rPr>
          <w:color w:val="000000"/>
        </w:rPr>
        <w:t xml:space="preserve">lan </w:t>
      </w:r>
      <w:r>
        <w:t>en cuestión</w:t>
      </w:r>
      <w:r>
        <w:rPr>
          <w:color w:val="000000"/>
        </w:rPr>
        <w:t>, en virtud del seguimiento y control de</w:t>
      </w:r>
      <w:r>
        <w:t xml:space="preserve"> la correcta</w:t>
      </w:r>
      <w:r>
        <w:rPr>
          <w:color w:val="000000"/>
        </w:rPr>
        <w:t xml:space="preserve"> implementación de mecanismos, instancias e instrumentos de participación ciudadana, </w:t>
      </w:r>
      <w:r>
        <w:t xml:space="preserve">contemplados </w:t>
      </w:r>
      <w:r>
        <w:rPr>
          <w:color w:val="000000"/>
        </w:rPr>
        <w:t>por la Constitución de la Ciudad</w:t>
      </w:r>
      <w:r>
        <w:t xml:space="preserve"> y</w:t>
      </w:r>
      <w:r>
        <w:rPr>
          <w:color w:val="000000"/>
        </w:rPr>
        <w:t xml:space="preserve"> la Ley 1.777</w:t>
      </w:r>
      <w:r>
        <w:t>, y</w:t>
      </w:r>
      <w:r>
        <w:rPr>
          <w:color w:val="000000"/>
        </w:rPr>
        <w:t xml:space="preserve"> </w:t>
      </w:r>
      <w:r>
        <w:t>en</w:t>
      </w:r>
      <w:r>
        <w:rPr>
          <w:color w:val="000000"/>
        </w:rPr>
        <w:t xml:space="preserve"> consonancia con la Ley 2.930, de </w:t>
      </w:r>
      <w:r>
        <w:t>“</w:t>
      </w:r>
      <w:r>
        <w:rPr>
          <w:color w:val="000000"/>
        </w:rPr>
        <w:t>Plan Urbano Ambiental</w:t>
      </w:r>
      <w:r>
        <w:t>”</w:t>
      </w:r>
      <w:r>
        <w:rPr>
          <w:color w:val="000000"/>
        </w:rPr>
        <w:t xml:space="preserve">. </w:t>
      </w:r>
    </w:p>
    <w:p w:rsidR="00EE7EBB" w:rsidRDefault="00EE7EBB" w:rsidP="00EE7EBB">
      <w:pPr>
        <w:pBdr>
          <w:top w:val="nil"/>
          <w:left w:val="nil"/>
          <w:bottom w:val="nil"/>
          <w:right w:val="nil"/>
          <w:between w:val="nil"/>
        </w:pBdr>
        <w:spacing w:line="360" w:lineRule="auto"/>
        <w:ind w:firstLine="720"/>
        <w:rPr>
          <w:color w:val="000000"/>
        </w:rPr>
      </w:pPr>
      <w:r>
        <w:rPr>
          <w:color w:val="000000"/>
        </w:rPr>
        <w:t xml:space="preserve">La información publicada hasta el momento no cumple con los institutos de </w:t>
      </w:r>
      <w:r>
        <w:t>p</w:t>
      </w:r>
      <w:r>
        <w:rPr>
          <w:color w:val="000000"/>
        </w:rPr>
        <w:t xml:space="preserve">articipación </w:t>
      </w:r>
      <w:r>
        <w:t>previstos</w:t>
      </w:r>
      <w:r>
        <w:rPr>
          <w:color w:val="000000"/>
        </w:rPr>
        <w:t xml:space="preserve"> por las Leyes y normas de la Ciudad, por ese motivo solicitamos que se </w:t>
      </w:r>
      <w:r>
        <w:t>explicite de qué forma se atendieron los requisitos que las leyes vigentes establecen en cuanto al ejercicio de las competencias exclusivas y concurrentes de las comunas</w:t>
      </w:r>
      <w:r>
        <w:rPr>
          <w:color w:val="000000"/>
        </w:rPr>
        <w:t xml:space="preserve">. Nos </w:t>
      </w:r>
      <w:r>
        <w:t>preocupa la existencia de algunos precedentes,</w:t>
      </w:r>
      <w:r>
        <w:rPr>
          <w:color w:val="000000"/>
        </w:rPr>
        <w:t xml:space="preserve"> como </w:t>
      </w:r>
      <w:r>
        <w:t>fue</w:t>
      </w:r>
      <w:r>
        <w:rPr>
          <w:color w:val="000000"/>
        </w:rPr>
        <w:t xml:space="preserve"> el Programa BA Elige, cuyos mecanismos de participación y procesos de selección de propuestas no</w:t>
      </w:r>
      <w:r>
        <w:t xml:space="preserve"> estaban debidamente detallados, por lo que fueron fuente de confusión y coartaron la posibilidad de que se</w:t>
      </w:r>
      <w:r>
        <w:rPr>
          <w:color w:val="FF0000"/>
        </w:rPr>
        <w:t xml:space="preserve"> </w:t>
      </w:r>
      <w:r>
        <w:t>canalizarán y viabilizaran</w:t>
      </w:r>
      <w:r>
        <w:rPr>
          <w:color w:val="000000"/>
        </w:rPr>
        <w:t xml:space="preserve"> las demandas territoriales concretas de diversos/as vecinos/as, comunidades y sectores</w:t>
      </w:r>
      <w:r>
        <w:t xml:space="preserve">, como </w:t>
      </w:r>
      <w:r>
        <w:rPr>
          <w:color w:val="000000"/>
        </w:rPr>
        <w:t xml:space="preserve">Educación, Espacios Públicos, Salud, entre otros. </w:t>
      </w:r>
    </w:p>
    <w:p w:rsidR="00EE7EBB" w:rsidRDefault="00EE7EBB" w:rsidP="00EE7EBB">
      <w:pPr>
        <w:pBdr>
          <w:top w:val="nil"/>
          <w:left w:val="nil"/>
          <w:bottom w:val="nil"/>
          <w:right w:val="nil"/>
          <w:between w:val="nil"/>
        </w:pBdr>
        <w:spacing w:line="360" w:lineRule="auto"/>
        <w:ind w:firstLine="720"/>
        <w:rPr>
          <w:rFonts w:ascii="Arial" w:eastAsia="Arial" w:hAnsi="Arial" w:cs="Arial"/>
          <w:sz w:val="22"/>
          <w:szCs w:val="22"/>
        </w:rPr>
      </w:pPr>
      <w:r>
        <w:rPr>
          <w:color w:val="000000"/>
        </w:rPr>
        <w:t xml:space="preserve">Por último, nuestro objetivo </w:t>
      </w:r>
      <w:r>
        <w:t>también</w:t>
      </w:r>
      <w:r>
        <w:rPr>
          <w:color w:val="000000"/>
        </w:rPr>
        <w:t xml:space="preserve"> es conocer</w:t>
      </w:r>
      <w:r>
        <w:t xml:space="preserve"> cuál es el</w:t>
      </w:r>
      <w:r>
        <w:rPr>
          <w:color w:val="000000"/>
        </w:rPr>
        <w:t xml:space="preserve"> rol </w:t>
      </w:r>
      <w:r>
        <w:t>que el Ejecutivo</w:t>
      </w:r>
      <w:r>
        <w:rPr>
          <w:color w:val="000000"/>
        </w:rPr>
        <w:t xml:space="preserve"> le asigna a los </w:t>
      </w:r>
      <w:r>
        <w:t>g</w:t>
      </w:r>
      <w:r>
        <w:rPr>
          <w:color w:val="000000"/>
        </w:rPr>
        <w:t xml:space="preserve">obiernos comunales descentralizados y sus órganos de participación ciudadana en la </w:t>
      </w:r>
      <w:r>
        <w:t>planificación</w:t>
      </w:r>
      <w:r>
        <w:rPr>
          <w:color w:val="000000"/>
        </w:rPr>
        <w:t xml:space="preserve"> de sus territorios y la construcción de propuestas que </w:t>
      </w:r>
      <w:r>
        <w:t xml:space="preserve">sirvan </w:t>
      </w:r>
      <w:r>
        <w:rPr>
          <w:color w:val="000000"/>
        </w:rPr>
        <w:t>como soluciones a los problemas y demandas de los/as ciudadanos/as de las comunas. Cree</w:t>
      </w:r>
      <w:r>
        <w:t xml:space="preserve">mos que es importante que en toda planificación general del Ejecutivo se respeten las competencias concurrentes establecidas en la Ley 1.777 y, en particular, la del  inciso “b” del artículo 11, para que las comunas no sean meros administradores desconcentrados sino que puedan ejercer y llevar adelante verdaderos gobiernos descentralizados, que coordinadamente entre ellos y el Poder Ejecutivo, se transformen en artífices y vehiculizadores de un proyecto integral de ciudad. </w:t>
      </w:r>
    </w:p>
    <w:p w:rsidR="00EE7EBB" w:rsidRDefault="00EE7EBB" w:rsidP="00EE7EBB">
      <w:pPr>
        <w:pBdr>
          <w:top w:val="nil"/>
          <w:left w:val="nil"/>
          <w:bottom w:val="nil"/>
          <w:right w:val="nil"/>
          <w:between w:val="nil"/>
        </w:pBdr>
        <w:spacing w:line="360" w:lineRule="auto"/>
        <w:ind w:firstLine="720"/>
        <w:rPr>
          <w:color w:val="000000"/>
        </w:rPr>
      </w:pPr>
      <w:r>
        <w:rPr>
          <w:color w:val="000000"/>
        </w:rPr>
        <w:t xml:space="preserve">Por este motivo solicitamos al cuerpo que acompañe la aprobación del presente proyecto de resolución. </w:t>
      </w:r>
    </w:p>
    <w:p w:rsidR="00AF6352" w:rsidRPr="00EE7EBB" w:rsidRDefault="00AF6352" w:rsidP="00081FFF"/>
    <w:sectPr w:rsidR="00AF6352" w:rsidRPr="00EE7EBB"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3DFF" w:rsidRDefault="002A3DFF">
      <w:r>
        <w:separator/>
      </w:r>
    </w:p>
  </w:endnote>
  <w:endnote w:type="continuationSeparator" w:id="0">
    <w:p w:rsidR="002A3DFF" w:rsidRDefault="002A3D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EE7EBB" w:rsidRDefault="00601A75">
    <w:pPr>
      <w:pStyle w:val="Piedepgina"/>
      <w:rPr>
        <w:color w:val="333333"/>
        <w:sz w:val="20"/>
      </w:rPr>
    </w:pPr>
    <w:bookmarkStart w:id="1" w:name="Proyecto"/>
    <w:bookmarkEnd w:id="1"/>
  </w:p>
  <w:p w:rsidR="00601A75" w:rsidRPr="00EE7EBB" w:rsidRDefault="00601A75">
    <w:pPr>
      <w:pStyle w:val="Piedepgina"/>
      <w:rPr>
        <w:color w:val="333333"/>
        <w:sz w:val="20"/>
      </w:rPr>
    </w:pPr>
    <w:r w:rsidRPr="00EE7EBB">
      <w:rPr>
        <w:color w:val="333333"/>
        <w:sz w:val="20"/>
      </w:rPr>
      <w:t xml:space="preserve">Último cambio: </w:t>
    </w:r>
    <w:fldSimple w:instr=" SAVEDATE  \* MERGEFORMAT ">
      <w:r w:rsidR="00EE7EBB">
        <w:rPr>
          <w:noProof/>
          <w:color w:val="333333"/>
          <w:sz w:val="20"/>
        </w:rPr>
        <w:t>00/00/0000 0:00:00</w:t>
      </w:r>
    </w:fldSimple>
    <w:r w:rsidRPr="00EE7EBB">
      <w:rPr>
        <w:color w:val="333333"/>
        <w:sz w:val="20"/>
      </w:rPr>
      <w:t xml:space="preserve">  -  Cantidad de caracteres: </w:t>
    </w:r>
    <w:fldSimple w:instr=" NUMCHARS  \* MERGEFORMAT ">
      <w:r w:rsidR="00EE7EBB">
        <w:rPr>
          <w:noProof/>
          <w:color w:val="333333"/>
          <w:sz w:val="20"/>
        </w:rPr>
        <w:t>4726</w:t>
      </w:r>
    </w:fldSimple>
    <w:r w:rsidRPr="00EE7EBB">
      <w:rPr>
        <w:color w:val="333333"/>
        <w:sz w:val="20"/>
      </w:rPr>
      <w:t xml:space="preserve"> - Cantidad de palabras: </w:t>
    </w:r>
    <w:fldSimple w:instr=" NUMWORDS  \* MERGEFORMAT ">
      <w:r w:rsidR="00EE7EBB">
        <w:rPr>
          <w:noProof/>
          <w:color w:val="333333"/>
          <w:sz w:val="20"/>
        </w:rPr>
        <w:t>850</w:t>
      </w:r>
    </w:fldSimple>
  </w:p>
  <w:p w:rsidR="00601A75" w:rsidRPr="00EE7EBB" w:rsidRDefault="00601A75" w:rsidP="00B05649">
    <w:pPr>
      <w:pStyle w:val="Piedepgina"/>
      <w:tabs>
        <w:tab w:val="left" w:pos="3565"/>
      </w:tabs>
      <w:rPr>
        <w:rStyle w:val="Nmerodepgina"/>
        <w:color w:val="333333"/>
      </w:rPr>
    </w:pPr>
    <w:r w:rsidRPr="00EE7EBB">
      <w:rPr>
        <w:color w:val="333333"/>
        <w:sz w:val="20"/>
      </w:rPr>
      <w:tab/>
      <w:t>Pág.</w:t>
    </w:r>
    <w:r w:rsidRPr="00EE7EBB">
      <w:rPr>
        <w:color w:val="333333"/>
      </w:rPr>
      <w:t xml:space="preserve"> </w:t>
    </w:r>
    <w:r w:rsidRPr="00EE7EBB">
      <w:rPr>
        <w:rStyle w:val="Nmerodepgina"/>
        <w:color w:val="333333"/>
      </w:rPr>
      <w:fldChar w:fldCharType="begin"/>
    </w:r>
    <w:r w:rsidRPr="00EE7EBB">
      <w:rPr>
        <w:rStyle w:val="Nmerodepgina"/>
        <w:color w:val="333333"/>
      </w:rPr>
      <w:instrText xml:space="preserve"> PAGE </w:instrText>
    </w:r>
    <w:r w:rsidRPr="00EE7EBB">
      <w:rPr>
        <w:rStyle w:val="Nmerodepgina"/>
        <w:color w:val="333333"/>
      </w:rPr>
      <w:fldChar w:fldCharType="separate"/>
    </w:r>
    <w:r w:rsidR="00EE7EBB">
      <w:rPr>
        <w:rStyle w:val="Nmerodepgina"/>
        <w:noProof/>
        <w:color w:val="333333"/>
      </w:rPr>
      <w:t>2</w:t>
    </w:r>
    <w:r w:rsidRPr="00EE7EBB">
      <w:rPr>
        <w:rStyle w:val="Nmerodepgina"/>
        <w:color w:val="333333"/>
      </w:rPr>
      <w:fldChar w:fldCharType="end"/>
    </w:r>
    <w:r w:rsidRPr="00EE7EBB">
      <w:rPr>
        <w:rStyle w:val="Nmerodepgina"/>
        <w:color w:val="333333"/>
      </w:rPr>
      <w:t>/</w:t>
    </w:r>
    <w:fldSimple w:instr=" NUMPAGES  \* MERGEFORMAT ">
      <w:r w:rsidR="00EE7EBB">
        <w:rPr>
          <w:rStyle w:val="Nmerodepgina"/>
          <w:noProof/>
          <w:color w:val="333333"/>
        </w:rPr>
        <w:t>3</w:t>
      </w:r>
    </w:fldSimple>
    <w:r w:rsidRPr="00EE7EBB">
      <w:rPr>
        <w:rStyle w:val="Nmerodepgina"/>
        <w:color w:val="333333"/>
      </w:rPr>
      <w:t xml:space="preserve"> </w:t>
    </w:r>
  </w:p>
  <w:p w:rsidR="00601A75" w:rsidRPr="00EE7EBB"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3DFF" w:rsidRDefault="002A3DFF">
      <w:r>
        <w:separator/>
      </w:r>
    </w:p>
  </w:footnote>
  <w:footnote w:type="continuationSeparator" w:id="0">
    <w:p w:rsidR="002A3DFF" w:rsidRDefault="002A3D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E7EBB"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E3582E"/>
    <w:multiLevelType w:val="multilevel"/>
    <w:tmpl w:val="32204444"/>
    <w:lvl w:ilvl="0">
      <w:start w:val="1"/>
      <w:numFmt w:val="lowerLetter"/>
      <w:lvlText w:val="%1)"/>
      <w:lvlJc w:val="left"/>
      <w:pPr>
        <w:ind w:left="644" w:hanging="359"/>
      </w:pPr>
      <w:rPr>
        <w:strike w:val="0"/>
        <w:sz w:val="24"/>
        <w:szCs w:val="24"/>
        <w:u w:val="none"/>
      </w:rPr>
    </w:lvl>
    <w:lvl w:ilvl="1">
      <w:start w:val="1"/>
      <w:numFmt w:val="lowerLetter"/>
      <w:lvlText w:val="%2."/>
      <w:lvlJc w:val="left"/>
      <w:pPr>
        <w:ind w:left="1440" w:hanging="360"/>
      </w:pPr>
      <w:rPr>
        <w:rFonts w:ascii="Times New Roman" w:eastAsia="Times New Roman" w:hAnsi="Times New Roman" w:cs="Times New Roman"/>
        <w:strike w:val="0"/>
        <w:sz w:val="24"/>
        <w:szCs w:val="24"/>
        <w:u w:val="none"/>
      </w:rPr>
    </w:lvl>
    <w:lvl w:ilvl="2">
      <w:start w:val="1"/>
      <w:numFmt w:val="lowerRoman"/>
      <w:lvlText w:val="%3."/>
      <w:lvlJc w:val="right"/>
      <w:pPr>
        <w:ind w:left="2160" w:hanging="360"/>
      </w:pPr>
      <w:rPr>
        <w:rFonts w:ascii="Times New Roman" w:eastAsia="Times New Roman" w:hAnsi="Times New Roman" w:cs="Times New Roman"/>
        <w:strike w:val="0"/>
        <w:sz w:val="24"/>
        <w:szCs w:val="24"/>
        <w:u w:val="none"/>
      </w:rPr>
    </w:lvl>
    <w:lvl w:ilvl="3">
      <w:start w:val="1"/>
      <w:numFmt w:val="decimal"/>
      <w:lvlText w:val="%4."/>
      <w:lvlJc w:val="left"/>
      <w:pPr>
        <w:ind w:left="2880" w:hanging="360"/>
      </w:pPr>
      <w:rPr>
        <w:rFonts w:ascii="Times New Roman" w:eastAsia="Times New Roman" w:hAnsi="Times New Roman" w:cs="Times New Roman"/>
        <w:strike w:val="0"/>
        <w:sz w:val="24"/>
        <w:szCs w:val="24"/>
        <w:u w:val="none"/>
      </w:rPr>
    </w:lvl>
    <w:lvl w:ilvl="4">
      <w:start w:val="1"/>
      <w:numFmt w:val="lowerLetter"/>
      <w:lvlText w:val="%5."/>
      <w:lvlJc w:val="left"/>
      <w:pPr>
        <w:ind w:left="3600" w:hanging="360"/>
      </w:pPr>
      <w:rPr>
        <w:rFonts w:ascii="Times New Roman" w:eastAsia="Times New Roman" w:hAnsi="Times New Roman" w:cs="Times New Roman"/>
        <w:strike w:val="0"/>
        <w:sz w:val="24"/>
        <w:szCs w:val="24"/>
        <w:u w:val="none"/>
      </w:rPr>
    </w:lvl>
    <w:lvl w:ilvl="5">
      <w:start w:val="1"/>
      <w:numFmt w:val="lowerRoman"/>
      <w:lvlText w:val="%6."/>
      <w:lvlJc w:val="right"/>
      <w:pPr>
        <w:ind w:left="4320" w:hanging="360"/>
      </w:pPr>
      <w:rPr>
        <w:rFonts w:ascii="Times New Roman" w:eastAsia="Times New Roman" w:hAnsi="Times New Roman" w:cs="Times New Roman"/>
        <w:strike w:val="0"/>
        <w:sz w:val="24"/>
        <w:szCs w:val="24"/>
        <w:u w:val="none"/>
      </w:rPr>
    </w:lvl>
    <w:lvl w:ilvl="6">
      <w:start w:val="1"/>
      <w:numFmt w:val="decimal"/>
      <w:lvlText w:val="%7."/>
      <w:lvlJc w:val="left"/>
      <w:pPr>
        <w:ind w:left="5040" w:hanging="360"/>
      </w:pPr>
      <w:rPr>
        <w:rFonts w:ascii="Times New Roman" w:eastAsia="Times New Roman" w:hAnsi="Times New Roman" w:cs="Times New Roman"/>
        <w:strike w:val="0"/>
        <w:sz w:val="24"/>
        <w:szCs w:val="24"/>
        <w:u w:val="none"/>
      </w:rPr>
    </w:lvl>
    <w:lvl w:ilvl="7">
      <w:start w:val="1"/>
      <w:numFmt w:val="lowerLetter"/>
      <w:lvlText w:val="%8."/>
      <w:lvlJc w:val="left"/>
      <w:pPr>
        <w:ind w:left="5760" w:hanging="360"/>
      </w:pPr>
      <w:rPr>
        <w:rFonts w:ascii="Times New Roman" w:eastAsia="Times New Roman" w:hAnsi="Times New Roman" w:cs="Times New Roman"/>
        <w:strike w:val="0"/>
        <w:sz w:val="24"/>
        <w:szCs w:val="24"/>
        <w:u w:val="none"/>
      </w:rPr>
    </w:lvl>
    <w:lvl w:ilvl="8">
      <w:start w:val="1"/>
      <w:numFmt w:val="lowerRoman"/>
      <w:lvlText w:val="%9."/>
      <w:lvlJc w:val="right"/>
      <w:pPr>
        <w:ind w:left="6480" w:hanging="360"/>
      </w:pPr>
      <w:rPr>
        <w:rFonts w:ascii="Times New Roman" w:eastAsia="Times New Roman" w:hAnsi="Times New Roman" w:cs="Times New Roman"/>
        <w:strike w:val="0"/>
        <w:sz w:val="24"/>
        <w:szCs w:val="24"/>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2A3DFF"/>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3DFF"/>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E7EBB"/>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EBB"/>
    <w:pPr>
      <w:jc w:val="both"/>
    </w:pPr>
    <w:rPr>
      <w:sz w:val="24"/>
      <w:szCs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577801-DBC8-4317-B072-F5FCEBF34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3</Pages>
  <Words>855</Words>
  <Characters>4760</Characters>
  <Application>Microsoft Office Word</Application>
  <DocSecurity>0</DocSecurity>
  <Lines>125</Lines>
  <Paragraphs>22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2022-03-29T16:01:00Z</dcterms:created>
  <dcterms:modified xsi:type="dcterms:W3CDTF">2022-03-29T16:03:00Z</dcterms:modified>
</cp:coreProperties>
</file>