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BA2" w:rsidRPr="00B20BA2" w:rsidRDefault="00B20BA2" w:rsidP="00B20BA2">
      <w:pPr>
        <w:spacing w:line="360" w:lineRule="auto"/>
        <w:jc w:val="center"/>
        <w:rPr>
          <w:szCs w:val="24"/>
          <w:lang w:val="es-AR" w:eastAsia="es-AR"/>
        </w:rPr>
      </w:pPr>
      <w:r w:rsidRPr="00B20BA2">
        <w:rPr>
          <w:b/>
          <w:bCs/>
          <w:color w:val="000000"/>
          <w:szCs w:val="24"/>
          <w:lang w:val="es-AR" w:eastAsia="es-AR"/>
        </w:rPr>
        <w:t>PROYECTO DE RESOLUCIÓN</w:t>
      </w:r>
    </w:p>
    <w:p w:rsidR="00B20BA2" w:rsidRPr="00B20BA2" w:rsidRDefault="00B20BA2" w:rsidP="00B20BA2">
      <w:pPr>
        <w:spacing w:line="360" w:lineRule="auto"/>
        <w:jc w:val="left"/>
        <w:rPr>
          <w:szCs w:val="24"/>
          <w:lang w:val="es-AR" w:eastAsia="es-AR"/>
        </w:rPr>
      </w:pPr>
    </w:p>
    <w:p w:rsidR="00B20BA2" w:rsidRPr="00B20BA2" w:rsidRDefault="00B20BA2" w:rsidP="00B20BA2">
      <w:pPr>
        <w:spacing w:line="360" w:lineRule="auto"/>
        <w:rPr>
          <w:szCs w:val="24"/>
          <w:lang w:val="es-AR" w:eastAsia="es-AR"/>
        </w:rPr>
      </w:pPr>
      <w:r w:rsidRPr="00B20BA2">
        <w:rPr>
          <w:color w:val="000000"/>
          <w:szCs w:val="24"/>
          <w:lang w:val="es-AR" w:eastAsia="es-AR"/>
        </w:rPr>
        <w:t>Artículo 1°.- La Legislatura de la Ciudad Autónoma de Buenos Aires solicita al Consejo de los Derechos de Niños, Niñas y Adolescentes (CDNNyA) que informe en el término de treinta (30) días de recibido el presente, sobre los siguientes puntos referidos al estado de situación de los Hogares de Niños, Niñas y Adolescentes propios del Estado local como así también de aquellos que hayan suscripto convenio con esta Ciudad, conforme las prerrogativas establecidas en la normativa vigente; y otras cuestiones vinculadas: </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Informe cual es el número total de Hogares de Niños, Niñas y Adolescentes que prestan atención directa a la población infanto juvenil actualmente. Asimismo, detalle cuántos pertenecen a organizaciones comunitarias y organismos no gubernamentales que se encuentran con convenio vigente, y cuántos pertenecen a la red propia de hogares de la C.A.B.A.</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Indique cuáles son esas organizaciones de la sociedad civil y detalle los datos de su inscripción en el Registro correspondiente (Art. 74 Ley 114).</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Detalle el estado de situación edilicia de los Hogares propios del Estado local. Informe si se realizaron obras de mantenimiento en 2021. En caso afirmativo, indique minuciosamente características de las mismas y hogares destinatarios. </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Detalle el estado de infraestructura tecnológica y conectividad de los Hogares propios del Estado local.</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Indique el estado de habilitación, y todos los datos vinculados, de los Hogares que han suscripto convenio con la Ciudad.</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Informe la distribución geográfica y/o domicilio de los hogares dependientes de ese CDNNyA desde 2021, discriminando los propios de los conveniados.</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Informe el número de niños, niñas y adolescentes alojados/as en cada una de las instituciones propias del Estado local y con convenio suscripto vigente. Asimismo, indique la franja etaria que ocupa cada institución.</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Para el caso de los Hogares con convenio suscripto, informe y detalle los montos transferidos en 2021 y la modalidad de dichas transferencias. Asimismo, detalle los recursos materiales, tecnológicos y de conectividad que les provee ese Consejo. </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Para el caso de los Hogares propios, indique recursos humanos que provee a esos dispositivos así como también modalidad de contrato de trabajo del personal.</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t>En el caso de los Hogares que se ubican en la provincia de Buenos Aires, indique detalladamente el procedimiento que se lleva a cabo para cumplir con la fiscalización y control establecidos en la normativa de la Ciudad.</w:t>
      </w:r>
    </w:p>
    <w:p w:rsidR="00B20BA2" w:rsidRPr="00B20BA2" w:rsidRDefault="00B20BA2" w:rsidP="00B20BA2">
      <w:pPr>
        <w:numPr>
          <w:ilvl w:val="0"/>
          <w:numId w:val="1"/>
        </w:numPr>
        <w:spacing w:line="360" w:lineRule="auto"/>
        <w:textAlignment w:val="baseline"/>
        <w:rPr>
          <w:color w:val="000000"/>
          <w:szCs w:val="24"/>
          <w:lang w:val="es-AR" w:eastAsia="es-AR"/>
        </w:rPr>
      </w:pPr>
      <w:r w:rsidRPr="00B20BA2">
        <w:rPr>
          <w:color w:val="000000"/>
          <w:szCs w:val="24"/>
          <w:lang w:val="es-AR" w:eastAsia="es-AR"/>
        </w:rPr>
        <w:lastRenderedPageBreak/>
        <w:t>Una vez producido el egreso de un/a niño, niña o adolescente de la institución, ya sea por haber cumplido dieciocho (18) años o por cualquier otra causa, informe cómo se lleva adelante el seguimiento de la situación de cada uno/a de ellos/as fuera del dispositivo. </w:t>
      </w:r>
    </w:p>
    <w:p w:rsidR="00B20BA2" w:rsidRPr="00B20BA2" w:rsidRDefault="00B20BA2" w:rsidP="00B20BA2">
      <w:pPr>
        <w:spacing w:line="360" w:lineRule="auto"/>
        <w:rPr>
          <w:szCs w:val="24"/>
          <w:lang w:val="es-AR" w:eastAsia="es-AR"/>
        </w:rPr>
      </w:pPr>
      <w:r w:rsidRPr="00B20BA2">
        <w:rPr>
          <w:color w:val="000000"/>
          <w:szCs w:val="24"/>
          <w:lang w:val="es-AR" w:eastAsia="es-AR"/>
        </w:rPr>
        <w:t>En relación a la situación de emergencia sanitaria por COVID19 atravesada por la Ciudad y el resto del país, </w:t>
      </w:r>
    </w:p>
    <w:p w:rsidR="00B20BA2" w:rsidRPr="00B20BA2" w:rsidRDefault="00B20BA2" w:rsidP="00B20BA2">
      <w:pPr>
        <w:numPr>
          <w:ilvl w:val="0"/>
          <w:numId w:val="2"/>
        </w:numPr>
        <w:spacing w:line="360" w:lineRule="auto"/>
        <w:textAlignment w:val="baseline"/>
        <w:rPr>
          <w:color w:val="000000"/>
          <w:szCs w:val="24"/>
          <w:lang w:val="es-AR" w:eastAsia="es-AR"/>
        </w:rPr>
      </w:pPr>
      <w:r w:rsidRPr="00B20BA2">
        <w:rPr>
          <w:color w:val="000000"/>
          <w:szCs w:val="24"/>
          <w:lang w:val="es-AR" w:eastAsia="es-AR"/>
        </w:rPr>
        <w:t>Informe cantidad, periodicidad y detalle de productos de higiene, desinfección y cuidado personal entregados a los Hogares. En cada caso discrimine lo correspondiente a instituciones propias y bajo convenio suscripto, durante 2021.</w:t>
      </w:r>
    </w:p>
    <w:p w:rsidR="00B20BA2" w:rsidRPr="00B20BA2" w:rsidRDefault="00B20BA2" w:rsidP="00B20BA2">
      <w:pPr>
        <w:numPr>
          <w:ilvl w:val="0"/>
          <w:numId w:val="3"/>
        </w:numPr>
        <w:spacing w:line="360" w:lineRule="auto"/>
        <w:textAlignment w:val="baseline"/>
        <w:rPr>
          <w:color w:val="000000"/>
          <w:szCs w:val="24"/>
          <w:lang w:val="es-AR" w:eastAsia="es-AR"/>
        </w:rPr>
      </w:pPr>
      <w:r w:rsidRPr="00B20BA2">
        <w:rPr>
          <w:color w:val="000000"/>
          <w:szCs w:val="24"/>
          <w:lang w:val="es-AR" w:eastAsia="es-AR"/>
        </w:rPr>
        <w:t>Detalle acciones adoptadas para garantizar las vinculaciones familiares y afectivas de los/as niños, niñas y adolescentes alojados/as en las diferentes instituciones en períodos de Aislamiento Social Preventivo y Obligatorio (A.S.P.O.), durante 2021. Asimismo, informe lo propio en relación a las actividades educativas, lúdicas y recreativas.</w:t>
      </w:r>
    </w:p>
    <w:p w:rsidR="00B20BA2" w:rsidRPr="00B20BA2" w:rsidRDefault="00B20BA2" w:rsidP="00B20BA2">
      <w:pPr>
        <w:numPr>
          <w:ilvl w:val="0"/>
          <w:numId w:val="4"/>
        </w:numPr>
        <w:spacing w:line="360" w:lineRule="auto"/>
        <w:textAlignment w:val="baseline"/>
        <w:rPr>
          <w:color w:val="000000"/>
          <w:szCs w:val="24"/>
          <w:lang w:val="es-AR" w:eastAsia="es-AR"/>
        </w:rPr>
      </w:pPr>
      <w:r w:rsidRPr="00B20BA2">
        <w:rPr>
          <w:color w:val="000000"/>
          <w:szCs w:val="24"/>
          <w:lang w:val="es-AR" w:eastAsia="es-AR"/>
        </w:rPr>
        <w:t>Detalle las partidas presupuestarias extraordinarias que hayan sido destinadas a los Hogares en todas sus modalidades tanto propios como conveniados, para afrontar los gastos generados por el contexto sanitario durante 2021.</w:t>
      </w:r>
    </w:p>
    <w:p w:rsidR="00B20BA2" w:rsidRPr="00B20BA2" w:rsidRDefault="00B20BA2" w:rsidP="00B20BA2">
      <w:pPr>
        <w:numPr>
          <w:ilvl w:val="0"/>
          <w:numId w:val="5"/>
        </w:numPr>
        <w:spacing w:line="360" w:lineRule="auto"/>
        <w:textAlignment w:val="baseline"/>
        <w:rPr>
          <w:color w:val="000000"/>
          <w:szCs w:val="24"/>
          <w:lang w:val="es-AR" w:eastAsia="es-AR"/>
        </w:rPr>
      </w:pPr>
      <w:r w:rsidRPr="00B20BA2">
        <w:rPr>
          <w:color w:val="000000"/>
          <w:szCs w:val="24"/>
          <w:lang w:val="es-AR" w:eastAsia="es-AR"/>
        </w:rPr>
        <w:t>En el sentido del punto anterior, indique los aportes de recursos tecnológicos, materiales y humanos extraordinarios enviados a los Hogares en todas sus modalidades tanto propios como conveniados, durante 2021.</w:t>
      </w:r>
    </w:p>
    <w:p w:rsidR="00B20BA2" w:rsidRPr="00B20BA2" w:rsidRDefault="00B20BA2" w:rsidP="00B20BA2">
      <w:pPr>
        <w:numPr>
          <w:ilvl w:val="0"/>
          <w:numId w:val="6"/>
        </w:numPr>
        <w:spacing w:line="360" w:lineRule="auto"/>
        <w:textAlignment w:val="baseline"/>
        <w:rPr>
          <w:color w:val="000000"/>
          <w:szCs w:val="24"/>
          <w:lang w:val="es-AR" w:eastAsia="es-AR"/>
        </w:rPr>
      </w:pPr>
      <w:r w:rsidRPr="00B20BA2">
        <w:rPr>
          <w:color w:val="000000"/>
          <w:szCs w:val="24"/>
          <w:lang w:val="es-AR" w:eastAsia="es-AR"/>
        </w:rPr>
        <w:t>Frente a casos positivos de COVID19 en el personal de los Hogares, cuáles fueron los protocolos implementados, la rotación y/o suplencia de personal. Asimismo, detalle cómo se llevaron a cabo los aislamientos frente a casos de COVID19 en niños, niñas y adolescentes alojados. Si hubiera diferencias entre lo acontecido en Hogares propios y Hogares con convenio suscripto, enumere y explique minuciosamente en qué consistieron.</w:t>
      </w:r>
    </w:p>
    <w:p w:rsidR="00B20BA2" w:rsidRPr="00B20BA2" w:rsidRDefault="00B20BA2" w:rsidP="00B20BA2">
      <w:pPr>
        <w:spacing w:line="360" w:lineRule="auto"/>
        <w:ind w:left="360"/>
        <w:rPr>
          <w:szCs w:val="24"/>
          <w:lang w:val="es-AR" w:eastAsia="es-AR"/>
        </w:rPr>
      </w:pPr>
      <w:r w:rsidRPr="00B20BA2">
        <w:rPr>
          <w:color w:val="000000"/>
          <w:szCs w:val="24"/>
          <w:lang w:val="es-AR" w:eastAsia="es-AR"/>
        </w:rPr>
        <w:t>En relación al Plan Integral de Niñez y Adolescencia proyectado por el GCBA a partir de 2021:</w:t>
      </w:r>
    </w:p>
    <w:p w:rsidR="00B20BA2" w:rsidRPr="00B20BA2" w:rsidRDefault="00B20BA2" w:rsidP="00B20BA2">
      <w:pPr>
        <w:numPr>
          <w:ilvl w:val="0"/>
          <w:numId w:val="7"/>
        </w:numPr>
        <w:spacing w:line="360" w:lineRule="auto"/>
        <w:textAlignment w:val="baseline"/>
        <w:rPr>
          <w:color w:val="000000"/>
          <w:szCs w:val="24"/>
          <w:lang w:val="es-AR" w:eastAsia="es-AR"/>
        </w:rPr>
      </w:pPr>
      <w:r w:rsidRPr="00B20BA2">
        <w:rPr>
          <w:color w:val="000000"/>
          <w:szCs w:val="24"/>
          <w:lang w:val="es-AR" w:eastAsia="es-AR"/>
        </w:rPr>
        <w:t>Describa minuciosamente el estado de situación de la transferencia de los Hogares de Niños, Niñas y Adolescentes propios del Estado local como así también los conveniados, desde la Dirección General de Niñez y Adolescencia dependiente del Ministerio de Desarrollo Humano y Hábitat hacia ese Consejo.</w:t>
      </w:r>
    </w:p>
    <w:p w:rsidR="00B20BA2" w:rsidRPr="00B20BA2" w:rsidRDefault="00B20BA2" w:rsidP="00B20BA2">
      <w:pPr>
        <w:numPr>
          <w:ilvl w:val="0"/>
          <w:numId w:val="8"/>
        </w:numPr>
        <w:spacing w:line="360" w:lineRule="auto"/>
        <w:textAlignment w:val="baseline"/>
        <w:rPr>
          <w:color w:val="000000"/>
          <w:szCs w:val="24"/>
          <w:lang w:val="es-AR" w:eastAsia="es-AR"/>
        </w:rPr>
      </w:pPr>
      <w:r w:rsidRPr="00B20BA2">
        <w:rPr>
          <w:color w:val="000000"/>
          <w:szCs w:val="24"/>
          <w:lang w:val="es-AR" w:eastAsia="es-AR"/>
        </w:rPr>
        <w:t xml:space="preserve">Explique cómo se llevó adelante el proceso de transferencia y cómo se instrumentó el traspaso del personal, tanto de planta permanente como de planta transitoria, desde una dependencia a otra. Informe número de empleados/as traspasados/as. Asimismo, indique si se mantuvo la situación de revista de todos/as </w:t>
      </w:r>
      <w:r w:rsidRPr="00B20BA2">
        <w:rPr>
          <w:color w:val="000000"/>
          <w:szCs w:val="24"/>
          <w:lang w:val="es-AR" w:eastAsia="es-AR"/>
        </w:rPr>
        <w:lastRenderedPageBreak/>
        <w:t>los/as trabajadores/as. En caso negativo, informe cuántos/as no la mantuvieron y explique los motivos.</w:t>
      </w:r>
    </w:p>
    <w:p w:rsidR="00B20BA2" w:rsidRPr="00B20BA2" w:rsidRDefault="00B20BA2" w:rsidP="00B20BA2">
      <w:pPr>
        <w:numPr>
          <w:ilvl w:val="0"/>
          <w:numId w:val="9"/>
        </w:numPr>
        <w:spacing w:line="360" w:lineRule="auto"/>
        <w:textAlignment w:val="baseline"/>
        <w:rPr>
          <w:color w:val="000000"/>
          <w:szCs w:val="24"/>
          <w:lang w:val="es-AR" w:eastAsia="es-AR"/>
        </w:rPr>
      </w:pPr>
      <w:r w:rsidRPr="00B20BA2">
        <w:rPr>
          <w:color w:val="000000"/>
          <w:szCs w:val="24"/>
          <w:lang w:val="es-AR" w:eastAsia="es-AR"/>
        </w:rPr>
        <w:t>Por último, en qué instancia se encuentra la creación del Organismo para las Infancias y las Adolescencias (OIA), cuya puesta en marcha estaba prevista para el corriente año. </w:t>
      </w:r>
    </w:p>
    <w:p w:rsidR="00B20BA2" w:rsidRPr="00B20BA2" w:rsidRDefault="00B20BA2" w:rsidP="00B20BA2">
      <w:pPr>
        <w:spacing w:line="360" w:lineRule="auto"/>
        <w:rPr>
          <w:szCs w:val="24"/>
          <w:lang w:val="es-AR" w:eastAsia="es-AR"/>
        </w:rPr>
      </w:pPr>
      <w:r w:rsidRPr="00B20BA2">
        <w:rPr>
          <w:color w:val="000000"/>
          <w:szCs w:val="24"/>
          <w:lang w:val="es-AR" w:eastAsia="es-AR"/>
        </w:rPr>
        <w:t>Artículo 2 ° .- Comuníquese, etc.</w:t>
      </w: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Default="00B20BA2" w:rsidP="00B20BA2">
      <w:pPr>
        <w:spacing w:line="360" w:lineRule="auto"/>
        <w:jc w:val="left"/>
        <w:rPr>
          <w:szCs w:val="24"/>
          <w:lang w:val="es-AR" w:eastAsia="es-AR"/>
        </w:rPr>
      </w:pPr>
    </w:p>
    <w:p w:rsidR="00B20BA2" w:rsidRPr="00B20BA2" w:rsidRDefault="00B20BA2" w:rsidP="00B20BA2">
      <w:pPr>
        <w:spacing w:line="360" w:lineRule="auto"/>
        <w:jc w:val="left"/>
        <w:rPr>
          <w:szCs w:val="24"/>
          <w:lang w:val="es-AR" w:eastAsia="es-AR"/>
        </w:rPr>
      </w:pPr>
    </w:p>
    <w:p w:rsidR="00B20BA2" w:rsidRPr="00B20BA2" w:rsidRDefault="00B20BA2" w:rsidP="00B20BA2">
      <w:pPr>
        <w:spacing w:line="360" w:lineRule="auto"/>
        <w:jc w:val="center"/>
        <w:rPr>
          <w:szCs w:val="24"/>
          <w:lang w:val="es-AR" w:eastAsia="es-AR"/>
        </w:rPr>
      </w:pPr>
      <w:r w:rsidRPr="00B20BA2">
        <w:rPr>
          <w:b/>
          <w:bCs/>
          <w:color w:val="000000"/>
          <w:szCs w:val="24"/>
          <w:lang w:val="es-AR" w:eastAsia="es-AR"/>
        </w:rPr>
        <w:lastRenderedPageBreak/>
        <w:t>FUNDAMENTOS</w:t>
      </w:r>
    </w:p>
    <w:p w:rsidR="00B20BA2" w:rsidRPr="00B20BA2" w:rsidRDefault="00B20BA2" w:rsidP="00B20BA2">
      <w:pPr>
        <w:spacing w:line="360" w:lineRule="auto"/>
        <w:jc w:val="left"/>
        <w:rPr>
          <w:szCs w:val="24"/>
          <w:lang w:val="es-AR" w:eastAsia="es-AR"/>
        </w:rPr>
      </w:pPr>
    </w:p>
    <w:p w:rsidR="00B20BA2" w:rsidRPr="00B20BA2" w:rsidRDefault="00B20BA2" w:rsidP="00B20BA2">
      <w:pPr>
        <w:spacing w:line="360" w:lineRule="auto"/>
        <w:rPr>
          <w:szCs w:val="24"/>
          <w:lang w:val="es-AR" w:eastAsia="es-AR"/>
        </w:rPr>
      </w:pPr>
      <w:r w:rsidRPr="00B20BA2">
        <w:rPr>
          <w:color w:val="000000"/>
          <w:szCs w:val="24"/>
          <w:lang w:val="es-AR" w:eastAsia="es-AR"/>
        </w:rPr>
        <w:t>Sr. Presidente,</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El Consejo de los Derechos de Niñas, Niños y Adolescentes (CDNNyA), fue creado por la Ley 114 como organismo especializado que tiene a su cargo las funciones que competen a la Ciudad, en materia de promoción y protección integral de los derechos de niños, niñas y adolescentes. En este sentido, y teniendo en cuenta las atribuciones que le corresponden legítimamente, debe garantizar tanto las medidas de protección integral de derechos como las de protección excepcional.</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En relación a estas últimas, es sabido que solo deben aplicarse en situaciones de vulnerabilidad que realmente demanden privar temporalmente a los niños, niñas y adolescentes de su medio familiar, siempre con el objetivo de resguardar y preservar sus derechos. Las condiciones en que el Consejo toma la decisión de aplicar una medida excepcional de protección, el procedimiento implementado y el seguimiento de cada caso, son instancias fundamentales para que el sistema de protección integral cumpla su cometido. Sumado a esto, el Decreto 133/21 estableció el traspaso de todas las competencias vinculadas a los Hogares de Niños, Niñas y Adolescentes al ámbito de este organismo. </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De todo lo anterior, se desprende la importancia que reviste el rol fiscalizador y garante de derechos del CDNNyA, en casos de institucionalización. </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A partir de diversos informes de la Defensoría del Pueblo de la Ciudad Autónoma de Buenos Aires, se han expuesto falencias en las actuaciones de ese Consejo, que despiertan alarma por las implicancias que un mal funcionamiento de este organismo tendrían en la población infanto juvenil. Entre las problemáticas evidenciadas se encuentra la falta de abordaje articulado con organismos de protección integral correspondientes a otras jurisdicciones. Esto sucede porque el CDNNyA interviene frente a una vulneración de derechos producida en el ámbito de la Ciudad, pero cuando el menor tiene domicilio en otra jurisdicción (aunque su vida transcurra en la CABA) deriva el caso sin realizar el correspondiente seguimiento. </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Especial atención merece el estado de situación de los Hogares, tanto propios como conveniados, que dependen recientemente (desde 2021) del CDNNyA. </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En primer lugar, la red de Hogares propios de la Ciudad es muy acotada e insuficiente para atender las demandas de institucionalización, hecho que no se ha modificado con el correr de los años. Se evidenció una ineficiencia en la distribución de vacantes que devino en el alojamiento de niños/as y adolescentes en dispositivos que no eran los adecuados para ellos/as. </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lastRenderedPageBreak/>
        <w:t>Por otra parte, existen numerosos Hogares de Niños, Niñas y Adolescentes que tienen convenio suscripto con la Ciudad pero se ubican geográficamente en la provincia de Buenos Aires. Esta es una problemática de gran relevancia, que involucra muchas otras en sí misma, que van desde la imposibilidad de realizar una debida fiscalización de las instituciones hasta las dificultades para la re vinculación de los/as niños/as y adolescentes. </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Los Hogares situados en una jurisdicción distinta a la CABA quedan fuera de su ámbito de competencia, por lo tanto resultan inaplicables e inexigibles las prerrogativas establecidas en la normativa local, tal como están previstas actualmente. De esta manera las herramientas de protección no pueden utilizarse y la Ciudad se desentiende del rol que le asigna la ley. En otro sentido, pero relacionado al tema jurisdiccional, la institucionalización de niños/as y adolescentes fuera del ámbito de su centro de vida dificulta su re vinculación con familiares y referentes afectivos. También quedan alejados/as de los lugares donde desarrollaban sus actividades recreativas y educativas, por lo tanto se vulneran sus derechos, y eso es algo que el CDNNyA debe evitar y reparar, NO propiciar. </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Además, se ha observado que en tiempos de pandemia la asistencia, control y acondicionamiento de las instalaciones, así como también lo referente a la higiene, desinfección y prevención de los hogares conveniados distó mucho de los pertenecientes al Estado local, redundando lo anteriormente dicho. Iguales disparidades se visibilizaron en relación al personal que desempeñaba sus tareas en unos y otros.</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Como agravante, se ha detectado que no siempre se cumple con la obligación de agotar las acciones alternativas o medidas de protección integral, antes de decidir una institucionalización, violando así las prerrogativas de la normativa actual que claramente establecen su carácter subsidiario. Además, se ha evidenciado una tendencia a convertir en habituales las medidas excepcionales, lo cual profundiza la vulneración.</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En otro orden de cosas, se ha evidenciado un déficit en los recursos financieros, materiales y humanos derivados a las Defensorías Zonales, organismos descentralizados que, efectivamente, han sido diseñados para facilitar la promoción de derechos y atención de niños/as y adolescentes. Frente a la insuficiencia de recursos, los equipos se encuentran colapsados por lo tanto se ven obligados a atender emergencias, relegando sus fines preventivos.</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 xml:space="preserve">En conclusión, encontramos una grave deficiencia en el accionar del Estado local en materia de protección de derechos de niños/as y adolescentes, que se materializa en la derivación de sus funciones en Organizaciones No Gubernamentales y Comunitarias, a través de la excesiva firma de convenios, con el agravante de hacerlo con instituciones que quedan fuera de su ámbito de competencia. Es primordial poner fin </w:t>
      </w:r>
      <w:r w:rsidRPr="00B20BA2">
        <w:rPr>
          <w:color w:val="000000"/>
          <w:szCs w:val="24"/>
          <w:lang w:val="es-AR" w:eastAsia="es-AR"/>
        </w:rPr>
        <w:lastRenderedPageBreak/>
        <w:t>a esta tendencia del Gobierno de la Ciudad a delegar en la actividad privada funciones que corresponden a la esfera pública. Además, vemos desnaturalizadas las herramientas diseñadas específicamente para propiciar la protección y promoción de derechos de nuestra población infanto juvenil.</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Resulta fundamental contar con la información precisa y amplia en relación a este tema para poder formular las políticas públicas necesarias que garanticen el efectivo cumplimiento del sistema de protección integral de niño/as y adolescentes. Asimismo, es muy importante tener claridad acerca del punto de partida del CDNNyA, en relación al estado general de los Hogares de Niños, Niñas y Adolescentes.</w:t>
      </w:r>
    </w:p>
    <w:p w:rsidR="00B20BA2" w:rsidRPr="00B20BA2" w:rsidRDefault="00B20BA2" w:rsidP="00B20BA2">
      <w:pPr>
        <w:spacing w:line="360" w:lineRule="auto"/>
        <w:ind w:firstLine="1560"/>
        <w:rPr>
          <w:szCs w:val="24"/>
          <w:lang w:val="es-AR" w:eastAsia="es-AR"/>
        </w:rPr>
      </w:pPr>
      <w:r w:rsidRPr="00B20BA2">
        <w:rPr>
          <w:color w:val="000000"/>
          <w:szCs w:val="24"/>
          <w:lang w:val="es-AR" w:eastAsia="es-AR"/>
        </w:rPr>
        <w:t>Por todo lo expuesto, solicitamos el acompañamiento y aprobación del presente proyecto de resolución.  </w:t>
      </w:r>
    </w:p>
    <w:p w:rsidR="005E3C49" w:rsidRPr="00B20BA2" w:rsidRDefault="005E3C49" w:rsidP="00B20BA2">
      <w:pPr>
        <w:spacing w:line="360" w:lineRule="auto"/>
        <w:rPr>
          <w:szCs w:val="24"/>
        </w:rPr>
      </w:pPr>
    </w:p>
    <w:sectPr w:rsidR="005E3C49" w:rsidRPr="00B20BA2"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D21" w:rsidRDefault="001E7D21">
      <w:r>
        <w:separator/>
      </w:r>
    </w:p>
  </w:endnote>
  <w:endnote w:type="continuationSeparator" w:id="1">
    <w:p w:rsidR="001E7D21" w:rsidRDefault="001E7D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20BA2" w:rsidRPr="00B20BA2">
        <w:rPr>
          <w:noProof/>
          <w:color w:val="333333"/>
          <w:sz w:val="20"/>
        </w:rPr>
        <w:t>00/00/0000 0:00:00</w:t>
      </w:r>
    </w:fldSimple>
    <w:r w:rsidRPr="001C19C4">
      <w:rPr>
        <w:color w:val="333333"/>
        <w:sz w:val="20"/>
      </w:rPr>
      <w:t xml:space="preserve">  -  Cantidad de caracteres: </w:t>
    </w:r>
    <w:fldSimple w:instr=" NUMCHARS  \* MERGEFORMAT ">
      <w:r w:rsidR="00B20BA2" w:rsidRPr="00B20BA2">
        <w:rPr>
          <w:noProof/>
          <w:color w:val="333333"/>
          <w:sz w:val="20"/>
        </w:rPr>
        <w:t>9879</w:t>
      </w:r>
    </w:fldSimple>
    <w:r w:rsidRPr="001C19C4">
      <w:rPr>
        <w:color w:val="333333"/>
        <w:sz w:val="20"/>
      </w:rPr>
      <w:t xml:space="preserve"> - Cantidad de palabras: </w:t>
    </w:r>
    <w:fldSimple w:instr=" NUMWORDS  \* MERGEFORMAT ">
      <w:r w:rsidR="00B20BA2" w:rsidRPr="00B20BA2">
        <w:rPr>
          <w:noProof/>
          <w:color w:val="333333"/>
          <w:sz w:val="20"/>
        </w:rPr>
        <w:t>1775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059D2" w:rsidRPr="001C19C4">
      <w:rPr>
        <w:rStyle w:val="Nmerodepgina"/>
        <w:color w:val="333333"/>
      </w:rPr>
      <w:fldChar w:fldCharType="begin"/>
    </w:r>
    <w:r w:rsidRPr="001C19C4">
      <w:rPr>
        <w:rStyle w:val="Nmerodepgina"/>
        <w:color w:val="333333"/>
      </w:rPr>
      <w:instrText xml:space="preserve"> PAGE </w:instrText>
    </w:r>
    <w:r w:rsidR="008059D2" w:rsidRPr="001C19C4">
      <w:rPr>
        <w:rStyle w:val="Nmerodepgina"/>
        <w:color w:val="333333"/>
      </w:rPr>
      <w:fldChar w:fldCharType="separate"/>
    </w:r>
    <w:r w:rsidR="00B20BA2">
      <w:rPr>
        <w:rStyle w:val="Nmerodepgina"/>
        <w:noProof/>
        <w:color w:val="333333"/>
      </w:rPr>
      <w:t>2</w:t>
    </w:r>
    <w:r w:rsidR="008059D2" w:rsidRPr="001C19C4">
      <w:rPr>
        <w:rStyle w:val="Nmerodepgina"/>
        <w:color w:val="333333"/>
      </w:rPr>
      <w:fldChar w:fldCharType="end"/>
    </w:r>
    <w:r w:rsidRPr="001C19C4">
      <w:rPr>
        <w:rStyle w:val="Nmerodepgina"/>
        <w:color w:val="333333"/>
      </w:rPr>
      <w:t>/</w:t>
    </w:r>
    <w:fldSimple w:instr=" NUMPAGES  \* MERGEFORMAT ">
      <w:r w:rsidR="00B20BA2" w:rsidRPr="00B20BA2">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D21" w:rsidRDefault="001E7D21">
      <w:r>
        <w:separator/>
      </w:r>
    </w:p>
  </w:footnote>
  <w:footnote w:type="continuationSeparator" w:id="1">
    <w:p w:rsidR="001E7D21" w:rsidRDefault="001E7D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F7152C"/>
    <w:multiLevelType w:val="multilevel"/>
    <w:tmpl w:val="9DC29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6D38D9"/>
    <w:multiLevelType w:val="multilevel"/>
    <w:tmpl w:val="399A225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26A45EE"/>
    <w:multiLevelType w:val="multilevel"/>
    <w:tmpl w:val="E81E6F8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lvl w:ilvl="0">
        <w:numFmt w:val="decimal"/>
        <w:lvlText w:val="%1."/>
        <w:lvlJc w:val="left"/>
      </w:lvl>
    </w:lvlOverride>
  </w:num>
  <w:num w:numId="3">
    <w:abstractNumId w:val="1"/>
    <w:lvlOverride w:ilvl="0">
      <w:lvl w:ilvl="0">
        <w:numFmt w:val="decimal"/>
        <w:lvlText w:val="%1."/>
        <w:lvlJc w:val="left"/>
      </w:lvl>
    </w:lvlOverride>
  </w:num>
  <w:num w:numId="4">
    <w:abstractNumId w:val="1"/>
    <w:lvlOverride w:ilvl="0">
      <w:lvl w:ilvl="0">
        <w:numFmt w:val="decimal"/>
        <w:lvlText w:val="%1."/>
        <w:lvlJc w:val="left"/>
      </w:lvl>
    </w:lvlOverride>
  </w:num>
  <w:num w:numId="5">
    <w:abstractNumId w:val="1"/>
    <w:lvlOverride w:ilvl="0">
      <w:lvl w:ilvl="0">
        <w:numFmt w:val="decimal"/>
        <w:lvlText w:val="%1."/>
        <w:lvlJc w:val="left"/>
      </w:lvl>
    </w:lvlOverride>
  </w:num>
  <w:num w:numId="6">
    <w:abstractNumId w:val="1"/>
    <w:lvlOverride w:ilvl="0">
      <w:lvl w:ilvl="0">
        <w:numFmt w:val="decimal"/>
        <w:lvlText w:val="%1."/>
        <w:lvlJc w:val="left"/>
      </w:lvl>
    </w:lvlOverride>
  </w:num>
  <w:num w:numId="7">
    <w:abstractNumId w:val="2"/>
    <w:lvlOverride w:ilvl="0">
      <w:lvl w:ilvl="0">
        <w:numFmt w:val="decimal"/>
        <w:lvlText w:val="%1."/>
        <w:lvlJc w:val="left"/>
      </w:lvl>
    </w:lvlOverride>
  </w:num>
  <w:num w:numId="8">
    <w:abstractNumId w:val="2"/>
    <w:lvlOverride w:ilvl="0">
      <w:lvl w:ilvl="0">
        <w:numFmt w:val="decimal"/>
        <w:lvlText w:val="%1."/>
        <w:lvlJc w:val="left"/>
      </w:lvl>
    </w:lvlOverride>
  </w:num>
  <w:num w:numId="9">
    <w:abstractNumId w:val="2"/>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1E7D2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E7D21"/>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59D2"/>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0BA2"/>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B20BA2"/>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93482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6</Pages>
  <Words>1775</Words>
  <Characters>9879</Characters>
  <Application>Microsoft Office Word</Application>
  <DocSecurity>0</DocSecurity>
  <Lines>193</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2022-03-30T17:25:00Z</dcterms:created>
  <dcterms:modified xsi:type="dcterms:W3CDTF">2022-03-30T17:27:00Z</dcterms:modified>
</cp:coreProperties>
</file>