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794" w:rsidRPr="00823794" w:rsidRDefault="00823794" w:rsidP="00823794">
      <w:pPr>
        <w:spacing w:line="360" w:lineRule="auto"/>
        <w:jc w:val="center"/>
        <w:rPr>
          <w:szCs w:val="24"/>
          <w:lang w:val="es-AR" w:eastAsia="es-AR"/>
        </w:rPr>
      </w:pPr>
      <w:r w:rsidRPr="00823794">
        <w:rPr>
          <w:b/>
          <w:bCs/>
          <w:color w:val="000000"/>
          <w:szCs w:val="24"/>
          <w:lang w:val="es-AR" w:eastAsia="es-AR"/>
        </w:rPr>
        <w:t>PROYECTO DE RESOLUCIÓN</w:t>
      </w:r>
    </w:p>
    <w:p w:rsidR="00823794" w:rsidRPr="00823794" w:rsidRDefault="00823794" w:rsidP="00823794">
      <w:pPr>
        <w:spacing w:line="360" w:lineRule="auto"/>
        <w:rPr>
          <w:szCs w:val="24"/>
          <w:lang w:val="es-AR" w:eastAsia="es-AR"/>
        </w:rPr>
      </w:pPr>
    </w:p>
    <w:p w:rsidR="00823794" w:rsidRPr="00823794" w:rsidRDefault="00823794" w:rsidP="00823794">
      <w:pPr>
        <w:spacing w:line="360" w:lineRule="auto"/>
        <w:rPr>
          <w:szCs w:val="24"/>
          <w:lang w:val="es-AR" w:eastAsia="es-AR"/>
        </w:rPr>
      </w:pPr>
      <w:r w:rsidRPr="00823794">
        <w:rPr>
          <w:color w:val="000000"/>
          <w:szCs w:val="24"/>
          <w:lang w:val="es-AR" w:eastAsia="es-AR"/>
        </w:rPr>
        <w:t>Artículo 1°.- La Legislatura de la Ciudad Autónoma de Buenos Aires solicita a la Dirección General de Niñez y Adolescencia (DGNyA), dependiente del Ministerio de Desarrollo Humano y Hábitat que informe en el término de treinta (30) días de recibido el presente, sobre los siguientes puntos referidos al estado de situación de los Hogares de Niños, Niñas y Adolescentes propios del estado local de la Ciudad Autónoma de Buenos Aires, como así también de aquellos que hayan suscripto convenio con esta Ciudad, al 31 de diciembre de 2020:</w:t>
      </w:r>
    </w:p>
    <w:p w:rsidR="00823794" w:rsidRPr="00823794" w:rsidRDefault="00823794" w:rsidP="00823794">
      <w:pPr>
        <w:numPr>
          <w:ilvl w:val="0"/>
          <w:numId w:val="1"/>
        </w:numPr>
        <w:spacing w:line="360" w:lineRule="auto"/>
        <w:textAlignment w:val="baseline"/>
        <w:rPr>
          <w:color w:val="000000"/>
          <w:szCs w:val="24"/>
          <w:lang w:val="es-AR" w:eastAsia="es-AR"/>
        </w:rPr>
      </w:pPr>
      <w:r w:rsidRPr="00823794">
        <w:rPr>
          <w:color w:val="000000"/>
          <w:szCs w:val="24"/>
          <w:lang w:val="es-AR" w:eastAsia="es-AR"/>
        </w:rPr>
        <w:t>Informe cual es el número total de Hogares de Niños, Niñas y Adolescentes que prestaban atención directa a la población infanto juvenil al 31 de diciembre de 2020. Asimismo, detalle cuántos pertenecían a organizaciones comunitarias y organismos no gubernamentales que se encontraban con convenio vigente, y cuántos pertenecían a la red propia de hogares de la C.A.B.A.</w:t>
      </w:r>
    </w:p>
    <w:p w:rsidR="00823794" w:rsidRPr="00823794" w:rsidRDefault="00823794" w:rsidP="00823794">
      <w:pPr>
        <w:numPr>
          <w:ilvl w:val="0"/>
          <w:numId w:val="1"/>
        </w:numPr>
        <w:spacing w:line="360" w:lineRule="auto"/>
        <w:textAlignment w:val="baseline"/>
        <w:rPr>
          <w:color w:val="000000"/>
          <w:szCs w:val="24"/>
          <w:lang w:val="es-AR" w:eastAsia="es-AR"/>
        </w:rPr>
      </w:pPr>
      <w:r w:rsidRPr="00823794">
        <w:rPr>
          <w:color w:val="000000"/>
          <w:szCs w:val="24"/>
          <w:lang w:val="es-AR" w:eastAsia="es-AR"/>
        </w:rPr>
        <w:t>Detalle el estado de situación edilicia de los Hogares propios del Estado local a esa fecha. Informe si se realizaron obras de mantenimiento en los últimos años (2019 y 2020). En caso afirmativo, indique minuciosamente características de las mismas y hogares destinatarios. </w:t>
      </w:r>
    </w:p>
    <w:p w:rsidR="00823794" w:rsidRPr="00823794" w:rsidRDefault="00823794" w:rsidP="00823794">
      <w:pPr>
        <w:numPr>
          <w:ilvl w:val="0"/>
          <w:numId w:val="1"/>
        </w:numPr>
        <w:spacing w:line="360" w:lineRule="auto"/>
        <w:textAlignment w:val="baseline"/>
        <w:rPr>
          <w:color w:val="000000"/>
          <w:szCs w:val="24"/>
          <w:lang w:val="es-AR" w:eastAsia="es-AR"/>
        </w:rPr>
      </w:pPr>
      <w:r w:rsidRPr="00823794">
        <w:rPr>
          <w:color w:val="000000"/>
          <w:szCs w:val="24"/>
          <w:lang w:val="es-AR" w:eastAsia="es-AR"/>
        </w:rPr>
        <w:t>Detalle el estado de infraestructura tecnológica y conectividad de los Hogares propios del Estado local al 31 de diciembre de 2020.</w:t>
      </w:r>
    </w:p>
    <w:p w:rsidR="00823794" w:rsidRPr="00823794" w:rsidRDefault="00823794" w:rsidP="00823794">
      <w:pPr>
        <w:numPr>
          <w:ilvl w:val="0"/>
          <w:numId w:val="1"/>
        </w:numPr>
        <w:spacing w:line="360" w:lineRule="auto"/>
        <w:textAlignment w:val="baseline"/>
        <w:rPr>
          <w:color w:val="000000"/>
          <w:szCs w:val="24"/>
          <w:lang w:val="es-AR" w:eastAsia="es-AR"/>
        </w:rPr>
      </w:pPr>
      <w:r w:rsidRPr="00823794">
        <w:rPr>
          <w:color w:val="000000"/>
          <w:szCs w:val="24"/>
          <w:lang w:val="es-AR" w:eastAsia="es-AR"/>
        </w:rPr>
        <w:t>Indique el estado de habilitación, y todos los datos vinculados, de los Hogares que habían suscripto convenio con la Ciudad a la fecha indicada.</w:t>
      </w:r>
    </w:p>
    <w:p w:rsidR="00823794" w:rsidRPr="00823794" w:rsidRDefault="00823794" w:rsidP="00823794">
      <w:pPr>
        <w:numPr>
          <w:ilvl w:val="0"/>
          <w:numId w:val="1"/>
        </w:numPr>
        <w:spacing w:line="360" w:lineRule="auto"/>
        <w:textAlignment w:val="baseline"/>
        <w:rPr>
          <w:color w:val="000000"/>
          <w:szCs w:val="24"/>
          <w:lang w:val="es-AR" w:eastAsia="es-AR"/>
        </w:rPr>
      </w:pPr>
      <w:r w:rsidRPr="00823794">
        <w:rPr>
          <w:color w:val="000000"/>
          <w:szCs w:val="24"/>
          <w:lang w:val="es-AR" w:eastAsia="es-AR"/>
        </w:rPr>
        <w:t>Informe la distribución geográfica de los hogares dependientes de esa DGNyA, discriminando los propios de los conveniados, al 31 de diciembre de 2020.</w:t>
      </w:r>
    </w:p>
    <w:p w:rsidR="00823794" w:rsidRPr="00823794" w:rsidRDefault="00823794" w:rsidP="00823794">
      <w:pPr>
        <w:numPr>
          <w:ilvl w:val="0"/>
          <w:numId w:val="1"/>
        </w:numPr>
        <w:spacing w:line="360" w:lineRule="auto"/>
        <w:textAlignment w:val="baseline"/>
        <w:rPr>
          <w:color w:val="000000"/>
          <w:szCs w:val="24"/>
          <w:lang w:val="es-AR" w:eastAsia="es-AR"/>
        </w:rPr>
      </w:pPr>
      <w:r w:rsidRPr="00823794">
        <w:rPr>
          <w:color w:val="000000"/>
          <w:szCs w:val="24"/>
          <w:lang w:val="es-AR" w:eastAsia="es-AR"/>
        </w:rPr>
        <w:t>Informe el número de niños, niñas y adolescentes alojados/as en cada una de las instituciones propias del Estado local y con convenio suscripto vigente al 31 de diciembre de 2020. Asimismo, indique la franja etaria que ocupaba cada institución.</w:t>
      </w:r>
    </w:p>
    <w:p w:rsidR="00823794" w:rsidRPr="00823794" w:rsidRDefault="00823794" w:rsidP="00823794">
      <w:pPr>
        <w:numPr>
          <w:ilvl w:val="0"/>
          <w:numId w:val="1"/>
        </w:numPr>
        <w:spacing w:line="360" w:lineRule="auto"/>
        <w:textAlignment w:val="baseline"/>
        <w:rPr>
          <w:color w:val="000000"/>
          <w:szCs w:val="24"/>
          <w:lang w:val="es-AR" w:eastAsia="es-AR"/>
        </w:rPr>
      </w:pPr>
      <w:r w:rsidRPr="00823794">
        <w:rPr>
          <w:color w:val="000000"/>
          <w:szCs w:val="24"/>
          <w:lang w:val="es-AR" w:eastAsia="es-AR"/>
        </w:rPr>
        <w:t>Para el caso de los Hogares con convenio suscripto, informe y detalle los montos transferidos en los últimos años (2019 y 2020) y la modalidad de dichas transferencias. Asimismo, detalle los recursos materiales, tecnológicos y de conectividad que les proveyó esa Dirección. </w:t>
      </w:r>
    </w:p>
    <w:p w:rsidR="00823794" w:rsidRPr="00823794" w:rsidRDefault="00823794" w:rsidP="00823794">
      <w:pPr>
        <w:numPr>
          <w:ilvl w:val="0"/>
          <w:numId w:val="1"/>
        </w:numPr>
        <w:spacing w:line="360" w:lineRule="auto"/>
        <w:textAlignment w:val="baseline"/>
        <w:rPr>
          <w:color w:val="000000"/>
          <w:szCs w:val="24"/>
          <w:lang w:val="es-AR" w:eastAsia="es-AR"/>
        </w:rPr>
      </w:pPr>
      <w:r w:rsidRPr="00823794">
        <w:rPr>
          <w:color w:val="000000"/>
          <w:szCs w:val="24"/>
          <w:lang w:val="es-AR" w:eastAsia="es-AR"/>
        </w:rPr>
        <w:t>Para el caso de los Hogares propios, indique recursos humanos que proveyó a esos dispositivos así como también modalidad de contrato de trabajo del personal.</w:t>
      </w:r>
    </w:p>
    <w:p w:rsidR="00823794" w:rsidRPr="00823794" w:rsidRDefault="00823794" w:rsidP="00823794">
      <w:pPr>
        <w:numPr>
          <w:ilvl w:val="0"/>
          <w:numId w:val="1"/>
        </w:numPr>
        <w:spacing w:line="360" w:lineRule="auto"/>
        <w:textAlignment w:val="baseline"/>
        <w:rPr>
          <w:color w:val="000000"/>
          <w:szCs w:val="24"/>
          <w:lang w:val="es-AR" w:eastAsia="es-AR"/>
        </w:rPr>
      </w:pPr>
      <w:r w:rsidRPr="00823794">
        <w:rPr>
          <w:color w:val="000000"/>
          <w:szCs w:val="24"/>
          <w:lang w:val="es-AR" w:eastAsia="es-AR"/>
        </w:rPr>
        <w:lastRenderedPageBreak/>
        <w:t>En el caso de los Hogares que se ubicaban en la provincia de Buenos Aires, indique detalladamente el procedimiento que se llevaba a cabo para cumplir con la fiscalización y control establecidos en la normativa de la Ciudad.</w:t>
      </w:r>
    </w:p>
    <w:p w:rsidR="00823794" w:rsidRPr="00823794" w:rsidRDefault="00823794" w:rsidP="00823794">
      <w:pPr>
        <w:spacing w:line="360" w:lineRule="auto"/>
        <w:rPr>
          <w:szCs w:val="24"/>
          <w:lang w:val="es-AR" w:eastAsia="es-AR"/>
        </w:rPr>
      </w:pPr>
      <w:r w:rsidRPr="00823794">
        <w:rPr>
          <w:color w:val="000000"/>
          <w:szCs w:val="24"/>
          <w:lang w:val="es-AR" w:eastAsia="es-AR"/>
        </w:rPr>
        <w:t>En relación a la situación de emergencia sanitaria por COVID19 atravesada por la Ciudad y el resto del país, </w:t>
      </w:r>
    </w:p>
    <w:p w:rsidR="00823794" w:rsidRPr="00823794" w:rsidRDefault="00823794" w:rsidP="00823794">
      <w:pPr>
        <w:numPr>
          <w:ilvl w:val="0"/>
          <w:numId w:val="2"/>
        </w:numPr>
        <w:spacing w:line="360" w:lineRule="auto"/>
        <w:textAlignment w:val="baseline"/>
        <w:rPr>
          <w:color w:val="000000"/>
          <w:szCs w:val="24"/>
          <w:lang w:val="es-AR" w:eastAsia="es-AR"/>
        </w:rPr>
      </w:pPr>
      <w:r w:rsidRPr="00823794">
        <w:rPr>
          <w:color w:val="000000"/>
          <w:szCs w:val="24"/>
          <w:lang w:val="es-AR" w:eastAsia="es-AR"/>
        </w:rPr>
        <w:t>Informe cantidad, periodicidad y detalle de productos de higiene, desinfección y cuidado personal entregados a los Hogares durante 2020. En cada caso discrimine lo correspondiente a instituciones propias y bajo convenio suscripto.</w:t>
      </w:r>
    </w:p>
    <w:p w:rsidR="00823794" w:rsidRPr="00823794" w:rsidRDefault="00823794" w:rsidP="00823794">
      <w:pPr>
        <w:numPr>
          <w:ilvl w:val="0"/>
          <w:numId w:val="3"/>
        </w:numPr>
        <w:spacing w:line="360" w:lineRule="auto"/>
        <w:textAlignment w:val="baseline"/>
        <w:rPr>
          <w:color w:val="000000"/>
          <w:szCs w:val="24"/>
          <w:lang w:val="es-AR" w:eastAsia="es-AR"/>
        </w:rPr>
      </w:pPr>
      <w:r w:rsidRPr="00823794">
        <w:rPr>
          <w:color w:val="000000"/>
          <w:szCs w:val="24"/>
          <w:lang w:val="es-AR" w:eastAsia="es-AR"/>
        </w:rPr>
        <w:t>Detalle acciones adoptadas para garantizar las vinculaciones familiares y afectivas de los/as niños, niñas y adolescentes alojados/as en las diferentes instituciones en períodos de Aislamiento Social Preventivo y Obligatorio (A.S.P.O.) de 2020. Asimismo, informe lo propio en relación a las actividades educativas, lúdicas y recreativas.</w:t>
      </w:r>
    </w:p>
    <w:p w:rsidR="00823794" w:rsidRPr="00823794" w:rsidRDefault="00823794" w:rsidP="00823794">
      <w:pPr>
        <w:numPr>
          <w:ilvl w:val="0"/>
          <w:numId w:val="4"/>
        </w:numPr>
        <w:spacing w:line="360" w:lineRule="auto"/>
        <w:textAlignment w:val="baseline"/>
        <w:rPr>
          <w:color w:val="000000"/>
          <w:szCs w:val="24"/>
          <w:lang w:val="es-AR" w:eastAsia="es-AR"/>
        </w:rPr>
      </w:pPr>
      <w:r w:rsidRPr="00823794">
        <w:rPr>
          <w:color w:val="000000"/>
          <w:szCs w:val="24"/>
          <w:lang w:val="es-AR" w:eastAsia="es-AR"/>
        </w:rPr>
        <w:t>Detalle las partidas presupuestarias extraordinarias que hayan sido destinadas a los Hogares en todas sus modalidades tanto propios como conveniados, para afrontar los gastos generados por el contexto sanitario durante 2020.</w:t>
      </w:r>
    </w:p>
    <w:p w:rsidR="00823794" w:rsidRPr="00823794" w:rsidRDefault="00823794" w:rsidP="00823794">
      <w:pPr>
        <w:numPr>
          <w:ilvl w:val="0"/>
          <w:numId w:val="5"/>
        </w:numPr>
        <w:spacing w:line="360" w:lineRule="auto"/>
        <w:textAlignment w:val="baseline"/>
        <w:rPr>
          <w:color w:val="000000"/>
          <w:szCs w:val="24"/>
          <w:lang w:val="es-AR" w:eastAsia="es-AR"/>
        </w:rPr>
      </w:pPr>
      <w:r w:rsidRPr="00823794">
        <w:rPr>
          <w:color w:val="000000"/>
          <w:szCs w:val="24"/>
          <w:lang w:val="es-AR" w:eastAsia="es-AR"/>
        </w:rPr>
        <w:t>En el sentido del punto anterior, indique los aportes de recursos tecnológicos, materiales y humanos extraordinarios enviados a los Hogares en todas sus modalidades, tanto propios como conveniados, durante 2020.</w:t>
      </w:r>
    </w:p>
    <w:p w:rsidR="00823794" w:rsidRPr="00823794" w:rsidRDefault="00823794" w:rsidP="00823794">
      <w:pPr>
        <w:numPr>
          <w:ilvl w:val="0"/>
          <w:numId w:val="6"/>
        </w:numPr>
        <w:spacing w:line="360" w:lineRule="auto"/>
        <w:textAlignment w:val="baseline"/>
        <w:rPr>
          <w:color w:val="000000"/>
          <w:szCs w:val="24"/>
          <w:lang w:val="es-AR" w:eastAsia="es-AR"/>
        </w:rPr>
      </w:pPr>
      <w:r w:rsidRPr="00823794">
        <w:rPr>
          <w:color w:val="000000"/>
          <w:szCs w:val="24"/>
          <w:lang w:val="es-AR" w:eastAsia="es-AR"/>
        </w:rPr>
        <w:t>Frente a casos positivos de COVID19 en el personal de los Hogares, cuáles fueron los protocolos implementados, la rotación y/o suplencia de personal. Asimismo, detalle cómo se llevaron a cabo los aislamientos frente a casos de COVID19 en niños, niñas y adolescentes alojados. Si hubiera diferencias entre lo acontecido en Hogares propios y Hogares con convenio suscripto, enumere y explique minuciosamente en qué consistieron. </w:t>
      </w:r>
    </w:p>
    <w:p w:rsidR="00823794" w:rsidRPr="00823794" w:rsidRDefault="00823794" w:rsidP="00823794">
      <w:pPr>
        <w:spacing w:line="360" w:lineRule="auto"/>
        <w:rPr>
          <w:szCs w:val="24"/>
          <w:lang w:val="es-AR" w:eastAsia="es-AR"/>
        </w:rPr>
      </w:pPr>
      <w:r w:rsidRPr="00823794">
        <w:rPr>
          <w:color w:val="000000"/>
          <w:szCs w:val="24"/>
          <w:lang w:val="es-AR" w:eastAsia="es-AR"/>
        </w:rPr>
        <w:t>Artículo 2 ° .- Comuníquese, etc.</w:t>
      </w:r>
    </w:p>
    <w:p w:rsidR="00823794" w:rsidRDefault="00823794" w:rsidP="00823794">
      <w:pPr>
        <w:spacing w:line="360" w:lineRule="auto"/>
        <w:rPr>
          <w:szCs w:val="24"/>
          <w:lang w:val="es-AR" w:eastAsia="es-AR"/>
        </w:rPr>
      </w:pPr>
    </w:p>
    <w:p w:rsidR="00823794" w:rsidRDefault="00823794" w:rsidP="00823794">
      <w:pPr>
        <w:spacing w:line="360" w:lineRule="auto"/>
        <w:rPr>
          <w:szCs w:val="24"/>
          <w:lang w:val="es-AR" w:eastAsia="es-AR"/>
        </w:rPr>
      </w:pPr>
    </w:p>
    <w:p w:rsidR="00823794" w:rsidRDefault="00823794" w:rsidP="00823794">
      <w:pPr>
        <w:spacing w:line="360" w:lineRule="auto"/>
        <w:rPr>
          <w:szCs w:val="24"/>
          <w:lang w:val="es-AR" w:eastAsia="es-AR"/>
        </w:rPr>
      </w:pPr>
    </w:p>
    <w:p w:rsidR="00823794" w:rsidRDefault="00823794" w:rsidP="00823794">
      <w:pPr>
        <w:spacing w:line="360" w:lineRule="auto"/>
        <w:rPr>
          <w:szCs w:val="24"/>
          <w:lang w:val="es-AR" w:eastAsia="es-AR"/>
        </w:rPr>
      </w:pPr>
    </w:p>
    <w:p w:rsidR="00823794" w:rsidRDefault="00823794" w:rsidP="00823794">
      <w:pPr>
        <w:spacing w:line="360" w:lineRule="auto"/>
        <w:rPr>
          <w:szCs w:val="24"/>
          <w:lang w:val="es-AR" w:eastAsia="es-AR"/>
        </w:rPr>
      </w:pPr>
    </w:p>
    <w:p w:rsidR="00823794" w:rsidRDefault="00823794" w:rsidP="00823794">
      <w:pPr>
        <w:spacing w:line="360" w:lineRule="auto"/>
        <w:rPr>
          <w:szCs w:val="24"/>
          <w:lang w:val="es-AR" w:eastAsia="es-AR"/>
        </w:rPr>
      </w:pPr>
    </w:p>
    <w:p w:rsidR="00823794" w:rsidRDefault="00823794" w:rsidP="00823794">
      <w:pPr>
        <w:spacing w:line="360" w:lineRule="auto"/>
        <w:rPr>
          <w:szCs w:val="24"/>
          <w:lang w:val="es-AR" w:eastAsia="es-AR"/>
        </w:rPr>
      </w:pPr>
    </w:p>
    <w:p w:rsidR="00823794" w:rsidRDefault="00823794" w:rsidP="00823794">
      <w:pPr>
        <w:spacing w:line="360" w:lineRule="auto"/>
        <w:rPr>
          <w:szCs w:val="24"/>
          <w:lang w:val="es-AR" w:eastAsia="es-AR"/>
        </w:rPr>
      </w:pPr>
    </w:p>
    <w:p w:rsidR="00823794" w:rsidRDefault="00823794" w:rsidP="00823794">
      <w:pPr>
        <w:spacing w:line="360" w:lineRule="auto"/>
        <w:rPr>
          <w:szCs w:val="24"/>
          <w:lang w:val="es-AR" w:eastAsia="es-AR"/>
        </w:rPr>
      </w:pPr>
    </w:p>
    <w:p w:rsidR="00823794" w:rsidRDefault="00823794" w:rsidP="00823794">
      <w:pPr>
        <w:spacing w:line="360" w:lineRule="auto"/>
        <w:rPr>
          <w:szCs w:val="24"/>
          <w:lang w:val="es-AR" w:eastAsia="es-AR"/>
        </w:rPr>
      </w:pPr>
    </w:p>
    <w:p w:rsidR="00823794" w:rsidRPr="00823794" w:rsidRDefault="00823794" w:rsidP="00823794">
      <w:pPr>
        <w:spacing w:line="360" w:lineRule="auto"/>
        <w:rPr>
          <w:szCs w:val="24"/>
          <w:lang w:val="es-AR" w:eastAsia="es-AR"/>
        </w:rPr>
      </w:pPr>
    </w:p>
    <w:p w:rsidR="00823794" w:rsidRPr="00823794" w:rsidRDefault="00823794" w:rsidP="00823794">
      <w:pPr>
        <w:spacing w:line="360" w:lineRule="auto"/>
        <w:jc w:val="center"/>
        <w:rPr>
          <w:szCs w:val="24"/>
          <w:lang w:val="es-AR" w:eastAsia="es-AR"/>
        </w:rPr>
      </w:pPr>
      <w:r w:rsidRPr="00823794">
        <w:rPr>
          <w:b/>
          <w:bCs/>
          <w:color w:val="000000"/>
          <w:szCs w:val="24"/>
          <w:lang w:val="es-AR" w:eastAsia="es-AR"/>
        </w:rPr>
        <w:lastRenderedPageBreak/>
        <w:t>FUNDAMENTOS</w:t>
      </w:r>
    </w:p>
    <w:p w:rsidR="00823794" w:rsidRPr="00823794" w:rsidRDefault="00823794" w:rsidP="00823794">
      <w:pPr>
        <w:spacing w:line="360" w:lineRule="auto"/>
        <w:rPr>
          <w:szCs w:val="24"/>
          <w:lang w:val="es-AR" w:eastAsia="es-AR"/>
        </w:rPr>
      </w:pPr>
    </w:p>
    <w:p w:rsidR="00823794" w:rsidRPr="00823794" w:rsidRDefault="00823794" w:rsidP="00823794">
      <w:pPr>
        <w:spacing w:line="360" w:lineRule="auto"/>
        <w:rPr>
          <w:szCs w:val="24"/>
          <w:lang w:val="es-AR" w:eastAsia="es-AR"/>
        </w:rPr>
      </w:pPr>
      <w:r w:rsidRPr="00823794">
        <w:rPr>
          <w:color w:val="000000"/>
          <w:szCs w:val="24"/>
          <w:lang w:val="es-AR" w:eastAsia="es-AR"/>
        </w:rPr>
        <w:t>Sr. Presidente,</w:t>
      </w:r>
    </w:p>
    <w:p w:rsidR="00823794" w:rsidRPr="00823794" w:rsidRDefault="00823794" w:rsidP="00823794">
      <w:pPr>
        <w:spacing w:line="360" w:lineRule="auto"/>
        <w:ind w:firstLine="1560"/>
        <w:rPr>
          <w:szCs w:val="24"/>
          <w:lang w:val="es-AR" w:eastAsia="es-AR"/>
        </w:rPr>
      </w:pPr>
      <w:r w:rsidRPr="00823794">
        <w:rPr>
          <w:color w:val="000000"/>
          <w:szCs w:val="24"/>
          <w:lang w:val="es-AR" w:eastAsia="es-AR"/>
        </w:rPr>
        <w:t>Hasta el dictado del Decreto 133/21, la Dirección General de Niñez y Adolescencia (DGNyA), dependiente del Ministerio de Desarrollo Humano y Hábitat de la Ciudad Autónoma de Buenos Aires, ha tenido la obligación de brindar protección integral y restablecer los derechos de los niños/as y adolescentes que se encontraran en situación de vulnerabilidad social, a través de circuitos y actividades de atención directa tanto en instituciones propias como bajo convenio. Cuando la aplicación de una medida excepcional (Institucionalización) era necesaria, esa Dirección debía disponer el recurso de alojamiento en el dispositivo que mejor se adecue a las necesidades de cada niño/a y/o adolescente, con el objetivo de lograr la restitución de los derechos vulnerados y favorecer  su posterior egreso de la institución. </w:t>
      </w:r>
    </w:p>
    <w:p w:rsidR="00823794" w:rsidRPr="00823794" w:rsidRDefault="00823794" w:rsidP="00823794">
      <w:pPr>
        <w:spacing w:line="360" w:lineRule="auto"/>
        <w:ind w:firstLine="1560"/>
        <w:rPr>
          <w:szCs w:val="24"/>
          <w:lang w:val="es-AR" w:eastAsia="es-AR"/>
        </w:rPr>
      </w:pPr>
      <w:r w:rsidRPr="00823794">
        <w:rPr>
          <w:color w:val="000000"/>
          <w:szCs w:val="24"/>
          <w:lang w:val="es-AR" w:eastAsia="es-AR"/>
        </w:rPr>
        <w:t>Las condiciones en que se encuentran los Hogares de Niños, Niñas y Adolescentes, su seguimiento y control, son fundamentales para que el sistema de protección integral cumpla su cometido. Por lo tanto, se desprende la importancia que revistió el rol fiscalizador y garante de derechos de la DGNyA, en estos casos, mientras tuvo esa competencia. Ahora que esas funciones han sido trasladadas al Consejo de Derechos de Niños, Niñas y Adolescentes, consideramos pertinente contar con los datos que esa Dirección pueda brindar, al cese su actividad. </w:t>
      </w:r>
    </w:p>
    <w:p w:rsidR="00823794" w:rsidRPr="00823794" w:rsidRDefault="00823794" w:rsidP="00823794">
      <w:pPr>
        <w:spacing w:line="360" w:lineRule="auto"/>
        <w:ind w:firstLine="1560"/>
        <w:rPr>
          <w:szCs w:val="24"/>
          <w:lang w:val="es-AR" w:eastAsia="es-AR"/>
        </w:rPr>
      </w:pPr>
      <w:r w:rsidRPr="00823794">
        <w:rPr>
          <w:color w:val="000000"/>
          <w:szCs w:val="24"/>
          <w:lang w:val="es-AR" w:eastAsia="es-AR"/>
        </w:rPr>
        <w:t>A partir de diversos informes de la Defensoría del Pueblo de la Ciudad Autónoma de Buenos Aires, se han expuesto falencias en las actuaciones de esa Dirección, que despiertan alarma por las implicancias que un mal funcionamiento de este organismo tendrían en la población infanto juvenil. </w:t>
      </w:r>
    </w:p>
    <w:p w:rsidR="00823794" w:rsidRPr="00823794" w:rsidRDefault="00823794" w:rsidP="00823794">
      <w:pPr>
        <w:spacing w:line="360" w:lineRule="auto"/>
        <w:ind w:firstLine="1560"/>
        <w:rPr>
          <w:szCs w:val="24"/>
          <w:lang w:val="es-AR" w:eastAsia="es-AR"/>
        </w:rPr>
      </w:pPr>
      <w:r w:rsidRPr="00823794">
        <w:rPr>
          <w:color w:val="000000"/>
          <w:szCs w:val="24"/>
          <w:lang w:val="es-AR" w:eastAsia="es-AR"/>
        </w:rPr>
        <w:t>En primer lugar, la red de Hogares propios de la Ciudad es muy acotada e insuficiente para atender las demandas de institucionalización, hecho que no se ha modificado con el correr de los años. Se evidenció una ineficiencia en la distribución de vacantes que devino en el alojamiento de niños/as y adolescentes en dispositivos que no eran los adecuados para ellos/as. </w:t>
      </w:r>
    </w:p>
    <w:p w:rsidR="00823794" w:rsidRPr="00823794" w:rsidRDefault="00823794" w:rsidP="00823794">
      <w:pPr>
        <w:spacing w:line="360" w:lineRule="auto"/>
        <w:ind w:firstLine="1560"/>
        <w:rPr>
          <w:szCs w:val="24"/>
          <w:lang w:val="es-AR" w:eastAsia="es-AR"/>
        </w:rPr>
      </w:pPr>
      <w:r w:rsidRPr="00823794">
        <w:rPr>
          <w:color w:val="000000"/>
          <w:szCs w:val="24"/>
          <w:lang w:val="es-AR" w:eastAsia="es-AR"/>
        </w:rPr>
        <w:t>Asimismo, existían (y existen) numerosos Hogares de Niños, Niñas y Adolescentes con convenio suscripto con la Ciudad pero ubicados geográficamente en la provincia de Buenos Aires. Esta es una problemática de gran relevancia, que involucra muchas otras en sí misma, que van desde la imposibilidad de realizar una debida fiscalización de las instituciones hasta las dificultades para la re vinculación de los/as niños/as y adolescentes, pasando por una notoria inequidad en la atribución de recursos. </w:t>
      </w:r>
    </w:p>
    <w:p w:rsidR="00823794" w:rsidRPr="00823794" w:rsidRDefault="00823794" w:rsidP="00823794">
      <w:pPr>
        <w:spacing w:line="360" w:lineRule="auto"/>
        <w:ind w:firstLine="1560"/>
        <w:rPr>
          <w:szCs w:val="24"/>
          <w:lang w:val="es-AR" w:eastAsia="es-AR"/>
        </w:rPr>
      </w:pPr>
      <w:r w:rsidRPr="00823794">
        <w:rPr>
          <w:color w:val="000000"/>
          <w:szCs w:val="24"/>
          <w:lang w:val="es-AR" w:eastAsia="es-AR"/>
        </w:rPr>
        <w:t xml:space="preserve">Los Hogares situados en una jurisdicción distinta a la CABA quedan fuera de su ámbito de competencia, por lo tanto resultan inaplicables e inexigibles las </w:t>
      </w:r>
      <w:r w:rsidRPr="00823794">
        <w:rPr>
          <w:color w:val="000000"/>
          <w:szCs w:val="24"/>
          <w:lang w:val="es-AR" w:eastAsia="es-AR"/>
        </w:rPr>
        <w:lastRenderedPageBreak/>
        <w:t>prerrogativas establecidas en la normativa local, tal como están previstas actualmente. De esta manera las herramientas de protección no pueden utilizarse y la Ciudad se desentiende del rol que le asigna la ley. En otro sentido, pero relacionado al tema jurisdiccional, la institucionalización de niños/as y adolescentes fuera del ámbito de su centro de vida dificulta su re vinculación con familiares y referentes afectivos. También quedan alejados/as de los lugares donde desarrollaban sus actividades recreativas y educativas, por lo tanto se vulneran sus derechos, y eso es algo que la DGNyA debía evitar y reparar, NO propiciar. </w:t>
      </w:r>
    </w:p>
    <w:p w:rsidR="00823794" w:rsidRPr="00823794" w:rsidRDefault="00823794" w:rsidP="00823794">
      <w:pPr>
        <w:spacing w:line="360" w:lineRule="auto"/>
        <w:ind w:firstLine="1560"/>
        <w:rPr>
          <w:szCs w:val="24"/>
          <w:lang w:val="es-AR" w:eastAsia="es-AR"/>
        </w:rPr>
      </w:pPr>
      <w:r w:rsidRPr="00823794">
        <w:rPr>
          <w:color w:val="000000"/>
          <w:szCs w:val="24"/>
          <w:lang w:val="es-AR" w:eastAsia="es-AR"/>
        </w:rPr>
        <w:t>Como agravante, se ha detectado que en tiempos de pandemia la asistencia, control y acondicionamiento de las instalaciones, así como también lo referente a la higiene, desinfección y prevención de los hogares conveniados distó mucho de los pertenecientes al Estado local, redundando lo anteriormente dicho. Iguales disparidades se visibilizaron en relación al personal que desempeñaba sus tareas en unos y otros.</w:t>
      </w:r>
    </w:p>
    <w:p w:rsidR="00823794" w:rsidRPr="00823794" w:rsidRDefault="00823794" w:rsidP="00823794">
      <w:pPr>
        <w:spacing w:line="360" w:lineRule="auto"/>
        <w:ind w:firstLine="1560"/>
        <w:rPr>
          <w:szCs w:val="24"/>
          <w:lang w:val="es-AR" w:eastAsia="es-AR"/>
        </w:rPr>
      </w:pPr>
      <w:r w:rsidRPr="00823794">
        <w:rPr>
          <w:color w:val="000000"/>
          <w:szCs w:val="24"/>
          <w:lang w:val="es-AR" w:eastAsia="es-AR"/>
        </w:rPr>
        <w:t>Se observa una tendencia predominante del gobierno de la Ciudad a delegar sus funciones y responsabilidades en las organizaciones de la sociedad civil, lo cual daña profundamente el sistema de protección de derechos de niños, niñas y adolescentes. La excesiva firma de convenios, con el agravante de hacerlo con instituciones que quedan fuera de su ámbito de competencia, es un hábito que debe cesar. Además, se ven desnaturalizadas las herramientas diseñadas específicamente para propiciar la protección y promoción de derechos de nuestra población infanto juvenil.</w:t>
      </w:r>
    </w:p>
    <w:p w:rsidR="00823794" w:rsidRPr="00823794" w:rsidRDefault="00823794" w:rsidP="00823794">
      <w:pPr>
        <w:spacing w:line="360" w:lineRule="auto"/>
        <w:ind w:firstLine="1560"/>
        <w:rPr>
          <w:szCs w:val="24"/>
          <w:lang w:val="es-AR" w:eastAsia="es-AR"/>
        </w:rPr>
      </w:pPr>
      <w:r w:rsidRPr="00823794">
        <w:rPr>
          <w:color w:val="000000"/>
          <w:szCs w:val="24"/>
          <w:lang w:val="es-AR" w:eastAsia="es-AR"/>
        </w:rPr>
        <w:t>Resulta fundamental contar con la información precisa y amplia en relación a este tema para poder formular las políticas públicas necesarias que garanticen el efectivo cumplimiento del sistema de protección integral de niño/as y adolescentes. Asimismo, es primordial tener claridad acerca del punto de partida del CDNNyA, en relación al estado general de los Hogares de Niños, Niñas y Adolescentes.</w:t>
      </w:r>
    </w:p>
    <w:p w:rsidR="00823794" w:rsidRPr="00823794" w:rsidRDefault="00823794" w:rsidP="00823794">
      <w:pPr>
        <w:spacing w:line="360" w:lineRule="auto"/>
        <w:ind w:firstLine="1560"/>
        <w:rPr>
          <w:szCs w:val="24"/>
          <w:lang w:val="es-AR" w:eastAsia="es-AR"/>
        </w:rPr>
      </w:pPr>
      <w:r w:rsidRPr="00823794">
        <w:rPr>
          <w:color w:val="000000"/>
          <w:szCs w:val="24"/>
          <w:lang w:val="es-AR" w:eastAsia="es-AR"/>
        </w:rPr>
        <w:t>Por todo lo expuesto, solicitamos el acompañamiento y aprobación del presente proyecto de resolución.  </w:t>
      </w:r>
    </w:p>
    <w:p w:rsidR="005E3C49" w:rsidRPr="00823794" w:rsidRDefault="005E3C49" w:rsidP="00823794">
      <w:pPr>
        <w:spacing w:line="360" w:lineRule="auto"/>
      </w:pPr>
    </w:p>
    <w:sectPr w:rsidR="005E3C49" w:rsidRPr="00823794"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69F5" w:rsidRDefault="006E69F5">
      <w:r>
        <w:separator/>
      </w:r>
    </w:p>
  </w:endnote>
  <w:endnote w:type="continuationSeparator" w:id="1">
    <w:p w:rsidR="006E69F5" w:rsidRDefault="006E69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23794" w:rsidRPr="00823794">
        <w:rPr>
          <w:noProof/>
          <w:color w:val="333333"/>
          <w:sz w:val="20"/>
        </w:rPr>
        <w:t>00/00/0000 0:00:00</w:t>
      </w:r>
    </w:fldSimple>
    <w:r w:rsidRPr="001C19C4">
      <w:rPr>
        <w:color w:val="333333"/>
        <w:sz w:val="20"/>
      </w:rPr>
      <w:t xml:space="preserve">  -  Cantidad de caracteres: </w:t>
    </w:r>
    <w:fldSimple w:instr=" NUMCHARS  \* MERGEFORMAT ">
      <w:r w:rsidR="00823794" w:rsidRPr="00823794">
        <w:rPr>
          <w:noProof/>
          <w:color w:val="333333"/>
          <w:sz w:val="20"/>
        </w:rPr>
        <w:t>7589</w:t>
      </w:r>
    </w:fldSimple>
    <w:r w:rsidRPr="001C19C4">
      <w:rPr>
        <w:color w:val="333333"/>
        <w:sz w:val="20"/>
      </w:rPr>
      <w:t xml:space="preserve"> - Cantidad de palabras: </w:t>
    </w:r>
    <w:fldSimple w:instr=" NUMWORDS  \* MERGEFORMAT ">
      <w:r w:rsidR="00823794" w:rsidRPr="00823794">
        <w:rPr>
          <w:noProof/>
          <w:color w:val="333333"/>
          <w:sz w:val="20"/>
        </w:rPr>
        <w:t>1378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501D9" w:rsidRPr="001C19C4">
      <w:rPr>
        <w:rStyle w:val="Nmerodepgina"/>
        <w:color w:val="333333"/>
      </w:rPr>
      <w:fldChar w:fldCharType="begin"/>
    </w:r>
    <w:r w:rsidRPr="001C19C4">
      <w:rPr>
        <w:rStyle w:val="Nmerodepgina"/>
        <w:color w:val="333333"/>
      </w:rPr>
      <w:instrText xml:space="preserve"> PAGE </w:instrText>
    </w:r>
    <w:r w:rsidR="002501D9" w:rsidRPr="001C19C4">
      <w:rPr>
        <w:rStyle w:val="Nmerodepgina"/>
        <w:color w:val="333333"/>
      </w:rPr>
      <w:fldChar w:fldCharType="separate"/>
    </w:r>
    <w:r w:rsidR="00823794">
      <w:rPr>
        <w:rStyle w:val="Nmerodepgina"/>
        <w:noProof/>
        <w:color w:val="333333"/>
      </w:rPr>
      <w:t>2</w:t>
    </w:r>
    <w:r w:rsidR="002501D9" w:rsidRPr="001C19C4">
      <w:rPr>
        <w:rStyle w:val="Nmerodepgina"/>
        <w:color w:val="333333"/>
      </w:rPr>
      <w:fldChar w:fldCharType="end"/>
    </w:r>
    <w:r w:rsidRPr="001C19C4">
      <w:rPr>
        <w:rStyle w:val="Nmerodepgina"/>
        <w:color w:val="333333"/>
      </w:rPr>
      <w:t>/</w:t>
    </w:r>
    <w:fldSimple w:instr=" NUMPAGES  \* MERGEFORMAT ">
      <w:r w:rsidR="00823794" w:rsidRPr="00823794">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69F5" w:rsidRDefault="006E69F5">
      <w:r>
        <w:separator/>
      </w:r>
    </w:p>
  </w:footnote>
  <w:footnote w:type="continuationSeparator" w:id="1">
    <w:p w:rsidR="006E69F5" w:rsidRDefault="006E69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781A87"/>
    <w:multiLevelType w:val="multilevel"/>
    <w:tmpl w:val="E548780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AE84413"/>
    <w:multiLevelType w:val="multilevel"/>
    <w:tmpl w:val="AFB4F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lvlOverride w:ilvl="0">
      <w:lvl w:ilvl="0">
        <w:numFmt w:val="decimal"/>
        <w:lvlText w:val="%1."/>
        <w:lvlJc w:val="left"/>
      </w:lvl>
    </w:lvlOverride>
  </w:num>
  <w:num w:numId="3">
    <w:abstractNumId w:val="0"/>
    <w:lvlOverride w:ilvl="0">
      <w:lvl w:ilvl="0">
        <w:numFmt w:val="decimal"/>
        <w:lvlText w:val="%1."/>
        <w:lvlJc w:val="left"/>
      </w:lvl>
    </w:lvlOverride>
  </w:num>
  <w:num w:numId="4">
    <w:abstractNumId w:val="0"/>
    <w:lvlOverride w:ilvl="0">
      <w:lvl w:ilvl="0">
        <w:numFmt w:val="decimal"/>
        <w:lvlText w:val="%1."/>
        <w:lvlJc w:val="left"/>
      </w:lvl>
    </w:lvlOverride>
  </w:num>
  <w:num w:numId="5">
    <w:abstractNumId w:val="0"/>
    <w:lvlOverride w:ilvl="0">
      <w:lvl w:ilvl="0">
        <w:numFmt w:val="decimal"/>
        <w:lvlText w:val="%1."/>
        <w:lvlJc w:val="left"/>
      </w:lvl>
    </w:lvlOverride>
  </w:num>
  <w:num w:numId="6">
    <w:abstractNumId w:val="0"/>
    <w:lvlOverride w:ilvl="0">
      <w:lvl w:ilvl="0">
        <w:numFmt w:val="decimal"/>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6E69F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501D9"/>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E69F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3794"/>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823794"/>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1985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2</TotalTime>
  <Pages>4</Pages>
  <Words>1378</Words>
  <Characters>7589</Characters>
  <Application>Microsoft Office Word</Application>
  <DocSecurity>0</DocSecurity>
  <Lines>137</Lines>
  <Paragraphs>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lugravano</cp:lastModifiedBy>
  <cp:revision>2</cp:revision>
  <cp:lastPrinted>2020-02-28T17:24:00Z</cp:lastPrinted>
  <dcterms:created xsi:type="dcterms:W3CDTF">2022-03-30T17:27:00Z</dcterms:created>
  <dcterms:modified xsi:type="dcterms:W3CDTF">2022-03-30T17:29:00Z</dcterms:modified>
</cp:coreProperties>
</file>