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73E" w:rsidRPr="00FB773E" w:rsidRDefault="00FB773E" w:rsidP="00FB773E">
      <w:pPr>
        <w:rPr>
          <w:lang w:val="es-MX"/>
        </w:rPr>
      </w:pPr>
    </w:p>
    <w:p w:rsidR="00FB773E" w:rsidRPr="00FB773E" w:rsidRDefault="00FB773E" w:rsidP="00FB773E">
      <w:pPr>
        <w:rPr>
          <w:lang w:val="es-MX"/>
        </w:rPr>
      </w:pPr>
    </w:p>
    <w:p w:rsidR="00FB773E" w:rsidRDefault="00FB773E" w:rsidP="00FB773E">
      <w:pPr>
        <w:jc w:val="center"/>
        <w:rPr>
          <w:b/>
        </w:rPr>
      </w:pPr>
    </w:p>
    <w:p w:rsidR="00FB773E" w:rsidRDefault="00FB773E" w:rsidP="00FB773E">
      <w:pPr>
        <w:jc w:val="center"/>
        <w:rPr>
          <w:b/>
        </w:rPr>
      </w:pPr>
      <w:r>
        <w:rPr>
          <w:b/>
        </w:rPr>
        <w:t xml:space="preserve">PROYECTO DE DECLARACIÓN </w:t>
      </w:r>
    </w:p>
    <w:p w:rsidR="00FB773E" w:rsidRDefault="00FB773E" w:rsidP="00FB773E">
      <w:pPr>
        <w:rPr>
          <w:b/>
        </w:rPr>
      </w:pPr>
    </w:p>
    <w:p w:rsidR="00FB773E" w:rsidRDefault="00FB773E" w:rsidP="00FB773E">
      <w:pPr>
        <w:spacing w:line="360" w:lineRule="auto"/>
      </w:pPr>
    </w:p>
    <w:p w:rsidR="00FB773E" w:rsidRDefault="00FB773E" w:rsidP="00FB773E">
      <w:pPr>
        <w:spacing w:line="360" w:lineRule="auto"/>
      </w:pPr>
      <w:r>
        <w:t xml:space="preserve">La Legislatura de la Ciudad Autónoma de Buenos Aires expresa su beneplácito al cumplirse el 133 (centésimo trigésimo tercero) aniversario del Barrio de Mataderos, en la comuna 9, a celebrarse el próximo 14 de abril del corriente año. </w:t>
      </w:r>
    </w:p>
    <w:p w:rsidR="00FB773E" w:rsidRDefault="00FB773E" w:rsidP="00FB773E"/>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tabs>
          <w:tab w:val="left" w:pos="1320"/>
        </w:tabs>
        <w:rPr>
          <w:b/>
        </w:rPr>
      </w:pPr>
      <w:r>
        <w:rPr>
          <w:b/>
        </w:rPr>
        <w:tab/>
      </w: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tabs>
          <w:tab w:val="left" w:pos="3030"/>
        </w:tabs>
        <w:rPr>
          <w:b/>
        </w:rPr>
      </w:pPr>
      <w:r>
        <w:rPr>
          <w:b/>
        </w:rPr>
        <w:tab/>
      </w: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p>
    <w:p w:rsidR="00FB773E" w:rsidRDefault="00FB773E" w:rsidP="00FB773E">
      <w:pPr>
        <w:jc w:val="center"/>
        <w:rPr>
          <w:b/>
        </w:rPr>
      </w:pPr>
      <w:r>
        <w:rPr>
          <w:b/>
        </w:rPr>
        <w:t>FUNDAMENTOS</w:t>
      </w:r>
    </w:p>
    <w:p w:rsidR="00FB773E" w:rsidRDefault="00FB773E" w:rsidP="00FB773E"/>
    <w:p w:rsidR="00FB773E" w:rsidRDefault="00FB773E" w:rsidP="00FB773E">
      <w:r>
        <w:tab/>
        <w:t xml:space="preserve">Señor Presidente: </w:t>
      </w:r>
    </w:p>
    <w:p w:rsidR="00FB773E" w:rsidRDefault="00FB773E" w:rsidP="00FB773E">
      <w:pPr>
        <w:spacing w:line="360" w:lineRule="auto"/>
      </w:pPr>
    </w:p>
    <w:p w:rsidR="00FB773E" w:rsidRDefault="00FB773E" w:rsidP="00FB773E">
      <w:pPr>
        <w:spacing w:line="360" w:lineRule="auto"/>
      </w:pPr>
      <w:r>
        <w:tab/>
        <w:t>No se mide la importancia de un barrio sólo por su extensión territorial, su ubicación geográfica, la suntuosidad de sus edificios, la belleza de sus avenidas o por radicarse en él personajes encumbrados. Son sus habitantes quienes también lo engrandecen, especialmente cuando mantienen y cultivan las tradiciones lugareñas, sin menoscabo del progreso y del acontecer que lo va cimentando.</w:t>
      </w:r>
    </w:p>
    <w:p w:rsidR="00FB773E" w:rsidRDefault="00FB773E" w:rsidP="00FB773E">
      <w:pPr>
        <w:pBdr>
          <w:top w:val="nil"/>
          <w:left w:val="nil"/>
          <w:bottom w:val="nil"/>
          <w:right w:val="nil"/>
          <w:between w:val="nil"/>
        </w:pBdr>
        <w:spacing w:line="360" w:lineRule="auto"/>
        <w:ind w:firstLine="709"/>
        <w:rPr>
          <w:color w:val="000000"/>
        </w:rPr>
      </w:pPr>
      <w:r>
        <w:rPr>
          <w:color w:val="000000"/>
        </w:rPr>
        <w:t>Un barrio es una zona, una parcelación que las autoridades delimitan por razones administrativas, edilicias y electorales. Quienes lo habitan son hombres y mujeres emprendedores que crean instituciones; instalan industrias; fomentan centros sociales, deportivos y culturales; personas que se destacan en el desarrollo de las artes y las ciencias.  Todos, con sus aportes respectivos van conformando la fisonomía que lo caracteriza, la que sumada a la de otros barrios constituye la idiosincrasia de la ciudad que integran.</w:t>
      </w:r>
    </w:p>
    <w:p w:rsidR="00FB773E" w:rsidRDefault="00FB773E" w:rsidP="00FB773E">
      <w:pPr>
        <w:pBdr>
          <w:top w:val="nil"/>
          <w:left w:val="nil"/>
          <w:bottom w:val="nil"/>
          <w:right w:val="nil"/>
          <w:between w:val="nil"/>
        </w:pBdr>
        <w:spacing w:line="360" w:lineRule="auto"/>
        <w:ind w:firstLine="709"/>
        <w:rPr>
          <w:color w:val="000000"/>
        </w:rPr>
      </w:pPr>
      <w:r>
        <w:rPr>
          <w:color w:val="000000"/>
        </w:rPr>
        <w:t>Mataderos es uno de esos barrios donde las tradiciones se mantienen vigentes y sus habitantes saben que no hay presente sin pasado, y que los hombres y  mujeres para proyectarse hacia el porvenir deben conocer sus raíces, las enseñanzas de sus antepasados.</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En el año 1884, debido a continuas lluvias, se desbordó el Riachuelo inundándose gran parte de los mataderos “</w:t>
      </w:r>
      <w:r>
        <w:rPr>
          <w:i/>
          <w:color w:val="000000"/>
        </w:rPr>
        <w:t>Nuevos Corrales del Sur</w:t>
      </w:r>
      <w:r>
        <w:rPr>
          <w:color w:val="000000"/>
        </w:rPr>
        <w:t xml:space="preserve">”, ubicados donde actualmente se encuentra Parque de los Patricios. Por lo que se decidió la conveniencia de reubicarlos a algún lugar lejos de la ciudad, para evitar inundaciones. Se creyó conveniente el transado a la zona de Liniers, entre las avenidas De la Torre Lisandro y Av. De los Corrales. </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Para llegar al lugar había dos formas: una yendo por Liniers, (Av. Rivadavia), y desde allí por campo traviesa. Y otra era ir por el Camino a Cañuelas, camino que con el tiempo se convirtió en la Avenida Juan Bautista Alberdi.</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Era una zona de campos que habían pertenecido a Bernardo Terrero y Joaquín Rivadavia. Se dividió el lugar, se realizó un rastrillaje, y luego se denominó al terreno “</w:t>
      </w:r>
      <w:r>
        <w:rPr>
          <w:i/>
          <w:color w:val="000000"/>
        </w:rPr>
        <w:t>Camino a los Mataderos</w:t>
      </w:r>
      <w:r>
        <w:rPr>
          <w:color w:val="000000"/>
        </w:rPr>
        <w:t>”, para cambiarlo en 1913 por el de Charles Tellier.</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Del 14 de abril de 1889, se data la primer edificación, una casilla de madera propiedad de José Michelini, quien había instaló una fonda y almacén ese mismo día en la actual calle Lisandro de la Torre 2421. Publio Massini, rematador, puso en venta los lotes. A fines de 1889 ya había veintidós manzanas vendidas. </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 xml:space="preserve">En 1890 se aprobó el inicio de las nuevas instalaciones al mando de la firma constructora "Boerr y Cía." </w:t>
      </w:r>
    </w:p>
    <w:p w:rsidR="00FB773E" w:rsidRDefault="00FB773E" w:rsidP="00FB773E">
      <w:pPr>
        <w:pBdr>
          <w:top w:val="nil"/>
          <w:left w:val="nil"/>
          <w:bottom w:val="nil"/>
          <w:right w:val="nil"/>
          <w:between w:val="nil"/>
        </w:pBdr>
        <w:shd w:val="clear" w:color="auto" w:fill="FFFFFF"/>
        <w:spacing w:line="360" w:lineRule="auto"/>
        <w:rPr>
          <w:color w:val="000000"/>
        </w:rPr>
      </w:pP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La zona fue denominada “</w:t>
      </w:r>
      <w:r>
        <w:rPr>
          <w:i/>
          <w:color w:val="000000"/>
        </w:rPr>
        <w:t>Nueva Chicago</w:t>
      </w:r>
      <w:r>
        <w:rPr>
          <w:color w:val="000000"/>
        </w:rPr>
        <w:t>”, utilizando el nombre de la ciudad norteamericana, por las plantas industrializadas de carne y transporte de la misma, que eran altamente modernas, siendo esto lo que se quería lograr en el país.</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A partir de 1898 llegaba hasta los Mataderos, un tranvía que trasladaba los materiales faltantes para terminar la construcción el edificio. Al finalizarla, se lo utilizó para transportar reses faenadas hasta Floresta por medio de zorras arrastradas por locomotoras.</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Se trazaron y empedraron las calles que daban a los portones de entrada de coches (Murguiondo y Directorio) y a partir del primero de Mayo de 1901 se inauguraron definitivamente los mataderos. Además, se colocaron vías alrededor de las playas de la matanza para el movimiento de las zorras</w:t>
      </w:r>
      <w:r>
        <w:rPr>
          <w:color w:val="000000"/>
          <w:vertAlign w:val="superscript"/>
        </w:rPr>
        <w:footnoteReference w:id="2"/>
      </w:r>
      <w:r>
        <w:rPr>
          <w:color w:val="000000"/>
        </w:rPr>
        <w:t xml:space="preserve"> en las que se cargaban las reses destinadas a los puestos de expendedores del mercado.</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El establecimiento era conocido como “Administración del Matadero Público y Juzgado de Corrales”.</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Al estar al tanto la edificación de los Mataderos, los licitadores comenzaron a realizar planos, subdividiendo las tierras y comenzaron los remates de los terrenos. Así comenzó a nacer el barrio.</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El  administrador del Matadero, era conocido como “Juez de Matadero” cuyas facultades eran similares a los Jueces de Mercado y actuaba formando Tribunal con dos vecinos sorteados de una lista de ocho con comprensión de las faenas del matadero.</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A principio de siglo, los animales venían a pie desde la provincia de Buenos Aires traídos por reseros, capataces o encargados de tropa. Ingresaban caminando por avenida de los Corrales, para entonces una huella, pasando por delante del conocido Mirador.</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El Mirador tiene más de 130 años, lo mandó a cimentar Juan Salaberry, (vecino significativo del barrio, que luego concedería tierras en otra parte del mismo para la edificación de un hospital, el cual posee su nombre). La finalidad del mirador era observar el horizonte para prever el ataque de los malones- que nunca llegaron- y luego la finalidad sería, ver la hacienda que venía por el camino y que realizaba allí su última parada.  Ésta ocultaba un secreto: en aquella zona los animales bebían agua para aumentar su peso y de esta forma al llegar al Matadero con kilos de más para conseguir un mayor valor. </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Al llegar, la hacienda se vendía a los acreedores, quiénes la recibían en sus corrales y la vendían al mejor postor. El primer licitador fue Nicolás Calvo, quién no utilizaba ningún contrato por escrito, solo de palabra. Una vez rematada la hacienda, los compradores mataban en el mismo matadero o en mataderos personales.</w:t>
      </w:r>
    </w:p>
    <w:p w:rsidR="00FB773E" w:rsidRDefault="00FB773E" w:rsidP="00FB773E">
      <w:pPr>
        <w:pBdr>
          <w:top w:val="nil"/>
          <w:left w:val="nil"/>
          <w:bottom w:val="nil"/>
          <w:right w:val="nil"/>
          <w:between w:val="nil"/>
        </w:pBdr>
        <w:shd w:val="clear" w:color="auto" w:fill="FFFFFF"/>
        <w:spacing w:line="360" w:lineRule="auto"/>
        <w:rPr>
          <w:color w:val="000000"/>
        </w:rPr>
      </w:pP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lastRenderedPageBreak/>
        <w:tab/>
        <w:t>Como era costumbre, cerca de un matadero siempre había un arroyo, comúnmente llamado tercero, en el cual se lanzaban los sobrantes de la faena, y una plaza que servía como mercado. Si bien se había reubicado el matadero para evitar las inundaciones, en los primeros años de labor, una lluvia interminable, como nunca se vio hasta entonces según las crónicas de la época, hizo desbordar el arroyo Cildañez, a cuyos lados se encontraba el mercado. El agua arrasó todo a su paso, inundando todas las instalaciones. El desastre se atribuyó a los pocos recaudos tomados por el administrador y a la mala elección de la zona. Años más tarde se entubó y actualmente desemboca en el Riachuelo.</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La sangre de los animales y los restos que no eran usados (sebo, grasa, vísceras, hígado) eran arrojados, mediante canaletas subterráneas al arroyo Cildañez. Debido a ello se lo llamaba “el arroyo de la sangre” por cambiar de color en su trayecto.</w:t>
      </w:r>
    </w:p>
    <w:p w:rsidR="00FB773E" w:rsidRDefault="00FB773E" w:rsidP="00FB773E">
      <w:pPr>
        <w:pBdr>
          <w:top w:val="nil"/>
          <w:left w:val="nil"/>
          <w:bottom w:val="nil"/>
          <w:right w:val="nil"/>
          <w:between w:val="nil"/>
        </w:pBdr>
        <w:shd w:val="clear" w:color="auto" w:fill="FFFFFF"/>
        <w:spacing w:line="360" w:lineRule="auto"/>
        <w:rPr>
          <w:color w:val="000000"/>
        </w:rPr>
      </w:pPr>
      <w:r>
        <w:rPr>
          <w:color w:val="000000"/>
        </w:rPr>
        <w:tab/>
        <w:t>Esos restos animales eran llamados Mucanga. Los Mucangueros</w:t>
      </w:r>
      <w:r>
        <w:rPr>
          <w:color w:val="000000"/>
          <w:vertAlign w:val="superscript"/>
        </w:rPr>
        <w:footnoteReference w:id="3"/>
      </w:r>
      <w:r>
        <w:rPr>
          <w:color w:val="000000"/>
        </w:rPr>
        <w:t xml:space="preserve"> sacaban la mucanga de las canaletas, algo prohibido en ese entonces. Los Mucangueros vendían su producto por pocas monedas a los fabricantes de jabón, para ser hervido en grandes tachos con el agregado de algún químico.</w:t>
      </w:r>
    </w:p>
    <w:p w:rsidR="00FB773E" w:rsidRDefault="00FB773E" w:rsidP="00FB773E">
      <w:pPr>
        <w:pBdr>
          <w:top w:val="nil"/>
          <w:left w:val="nil"/>
          <w:bottom w:val="nil"/>
          <w:right w:val="nil"/>
          <w:between w:val="nil"/>
        </w:pBdr>
        <w:shd w:val="clear" w:color="auto" w:fill="FFFFFF"/>
        <w:spacing w:line="360" w:lineRule="auto"/>
        <w:ind w:firstLine="720"/>
      </w:pPr>
      <w:r>
        <w:t>No queremos dejar de mencionar la historia del boxeador Justo A. Suárez, "El torito de mataderos", que en 1930 peleó por el título mundial en el Luna Park y viajó a Nueva York también, en lo que fue la primera pelea transmisión radial, considerado como el "primer ídolo popular" en ese deporte.</w:t>
      </w:r>
    </w:p>
    <w:p w:rsidR="00FB773E" w:rsidRDefault="00FB773E" w:rsidP="00FB773E">
      <w:pPr>
        <w:pBdr>
          <w:top w:val="nil"/>
          <w:left w:val="nil"/>
          <w:bottom w:val="nil"/>
          <w:right w:val="nil"/>
          <w:between w:val="nil"/>
        </w:pBdr>
        <w:shd w:val="clear" w:color="auto" w:fill="FFFFFF"/>
        <w:spacing w:line="360" w:lineRule="auto"/>
        <w:ind w:firstLine="720"/>
      </w:pPr>
      <w:r>
        <w:t xml:space="preserve">La construcción del barrio Los Perales, realizada en la primera presidencia del Gral. J.D.Peron dentro de lo que fue el llamado "Primer Plan Quinquenal" consistía en la construcción de viviendas para los trabajadores con una nueva mirada, ya no de desde el asistencialismo, sino partiendo desde el derecho. Se construyen 1.064 departamentos en  45 edificios, estilo "Pabellón" de dos pisos de altura, al cual se ingresan por dos escaleras laterales, y de ahí a los departamentos utilizando los balcones como espacio en común. Unas de las características son los amplios parques entre edificios, haciendo que la arboleda y verde predominen. Paralelamente se construye la Escuela Primaria pública y se inaugura en el año 1949 con el nombre "Justicialista", una sede del correo, un centro comercial, un polideportivo, una biblioteca y plazas con juegos.   Los departamentos son 2 y 3 ambientes, y fueron entregados con calefón, camas, sillas y mesas, cómo también la clásica máquina de coser. Los mismos cuentan con detalles de calidad, cómo sus pisos que son de parqué y que debido al odio de la oligarquía argentina, que no soportaba que los "cabecitas" tuvieran acceso a estos "privilegios" difaman a los vecinos/as del barrio diciendo que "se comían los asados con Parqué". En el año 1955 con el derrocamiento del general, son arrancados por los dictadores militares el busto de Perón y el de Evita que luego -según cuentan los vecinos que vivieron en la época - son enterrados en la </w:t>
      </w:r>
      <w:r>
        <w:lastRenderedPageBreak/>
        <w:t>cancha de Chicago por ellos mismos. Hoy luego de  73 años, en el mástil principal del barrio, en mármol Blanco, se puede leer la frase que dejaron sus realizadores, "Derecho al Bienestar"</w:t>
      </w:r>
    </w:p>
    <w:p w:rsidR="00FB773E" w:rsidRDefault="00FB773E" w:rsidP="00FB773E">
      <w:pPr>
        <w:pBdr>
          <w:top w:val="nil"/>
          <w:left w:val="nil"/>
          <w:bottom w:val="nil"/>
          <w:right w:val="nil"/>
          <w:between w:val="nil"/>
        </w:pBdr>
        <w:shd w:val="clear" w:color="auto" w:fill="FFFFFF"/>
        <w:spacing w:line="360" w:lineRule="auto"/>
        <w:rPr>
          <w:color w:val="222222"/>
          <w:highlight w:val="white"/>
        </w:rPr>
      </w:pPr>
      <w:r>
        <w:rPr>
          <w:color w:val="000000"/>
        </w:rPr>
        <w:tab/>
        <w:t>E</w:t>
      </w:r>
      <w:r>
        <w:rPr>
          <w:color w:val="222222"/>
          <w:highlight w:val="white"/>
        </w:rPr>
        <w:t>l 10 de enero de 1959, Frondizi envió al Congreso un proyecto de ley de Carnes que disponía la privatización del frigorífico Lisandro de la Torre, con el fin de reducir los empleados públicos y el gasto del Estado, en línea con los compromiso contraídos una semanas atrás con el FMI. ​ Sin demora, el proyecto fue aprobado por las dos cámaras en sólo cuatro días, a pesar de las alternativas productivas propuestas por el Sindicato de la Carne, que no fueron tenidas en cuenta. Frondizi por su parte se negó a recibir a la comisión interna del frigorífico.</w:t>
      </w:r>
    </w:p>
    <w:p w:rsidR="00FB773E" w:rsidRDefault="00FB773E" w:rsidP="00FB773E">
      <w:pPr>
        <w:pBdr>
          <w:top w:val="nil"/>
          <w:left w:val="nil"/>
          <w:bottom w:val="nil"/>
          <w:right w:val="nil"/>
          <w:between w:val="nil"/>
        </w:pBdr>
        <w:shd w:val="clear" w:color="auto" w:fill="FFFFFF"/>
        <w:spacing w:line="360" w:lineRule="auto"/>
        <w:rPr>
          <w:color w:val="222222"/>
        </w:rPr>
      </w:pPr>
      <w:r>
        <w:rPr>
          <w:color w:val="222222"/>
        </w:rPr>
        <w:tab/>
        <w:t xml:space="preserve">Al día siguiente de la sanción de la ley, los trabajadores del frigorífico realizaron una asamblea a la que asistieron unas 8.000 personas, prácticamente la totalidad del personal, donde se decidió la toma del establecimiento y la huelga por tiempo indeterminado. Frondizi entonces recibió al sindicato y a las 62 organizaciones, que le pidieron que vetara la ley, recibiendo una respuesta negativa. En las asambleas del Lisandro de la Torre se escuchó por primera vez la consigna </w:t>
      </w:r>
      <w:r>
        <w:rPr>
          <w:i/>
          <w:color w:val="222222"/>
        </w:rPr>
        <w:t>“¡Patria sí, colonia no!”</w:t>
      </w:r>
      <w:r>
        <w:rPr>
          <w:color w:val="222222"/>
        </w:rPr>
        <w:t xml:space="preserve"> ​</w:t>
      </w:r>
    </w:p>
    <w:p w:rsidR="00FB773E" w:rsidRDefault="00FB773E" w:rsidP="00FB773E">
      <w:pPr>
        <w:pBdr>
          <w:top w:val="nil"/>
          <w:left w:val="nil"/>
          <w:bottom w:val="nil"/>
          <w:right w:val="nil"/>
          <w:between w:val="nil"/>
        </w:pBdr>
        <w:shd w:val="clear" w:color="auto" w:fill="FFFFFF"/>
        <w:spacing w:line="360" w:lineRule="auto"/>
        <w:rPr>
          <w:color w:val="222222"/>
        </w:rPr>
      </w:pPr>
      <w:r>
        <w:rPr>
          <w:color w:val="222222"/>
        </w:rPr>
        <w:tab/>
        <w:t xml:space="preserve">El día 16, luego de que los trabajadores recibieron a los periodistas, el gobierno suspendió durante un mes a Radio Rivadavia por haber transmitido una entrevista al delegado Sebastián Borro. Ese mismo día Frondizi encomendó resolver el conflicto al jefe de la Policía Federal, capitán Ezequiel Niceto Vega, a la vez que ordenó al ministro de Trabajo Alfredo Allende declarar ilegal la huelga. </w:t>
      </w:r>
    </w:p>
    <w:p w:rsidR="00FB773E" w:rsidRDefault="00FB773E" w:rsidP="00FB773E">
      <w:pPr>
        <w:pBdr>
          <w:top w:val="nil"/>
          <w:left w:val="nil"/>
          <w:bottom w:val="nil"/>
          <w:right w:val="nil"/>
          <w:between w:val="nil"/>
        </w:pBdr>
        <w:shd w:val="clear" w:color="auto" w:fill="FFFFFF"/>
        <w:spacing w:line="360" w:lineRule="auto"/>
        <w:rPr>
          <w:color w:val="222222"/>
        </w:rPr>
      </w:pPr>
      <w:r>
        <w:rPr>
          <w:color w:val="222222"/>
        </w:rPr>
        <w:tab/>
        <w:t>A las cuatro de la mañana del día sábado 17 de enero, se desencadenó la represión, con fuerzas combinadas del Ejército, Gendarmería Nacional y la Policía Federal, que incluían el uso de cuatro tanques M4 Sherman al mando del teniente coronel Alejandro Cáceres Monié. El frigorífico estaba rodeado por miles de personas, estudiantes, vecinos, familiares, comerciantes. Los obreros prepararon la defensa con mangueras con agua caliente que se utilizaban en el faenamiento de la carne, la liberación del ganado y el uso de rondanas para trabar las orugas de los tanques. La resistencia duró tres horas y para las cuatro de la mañana las fuerzas represivas habían tomado control del establecimiento. Fueron detenidos 95 obreros y se registraron nueve heridos.</w:t>
      </w:r>
    </w:p>
    <w:p w:rsidR="00FB773E" w:rsidRDefault="00FB773E" w:rsidP="00FB773E">
      <w:pPr>
        <w:pBdr>
          <w:top w:val="nil"/>
          <w:left w:val="nil"/>
          <w:bottom w:val="nil"/>
          <w:right w:val="nil"/>
          <w:between w:val="nil"/>
        </w:pBdr>
        <w:shd w:val="clear" w:color="auto" w:fill="FFFFFF"/>
        <w:spacing w:line="360" w:lineRule="auto"/>
        <w:rPr>
          <w:color w:val="222222"/>
          <w:highlight w:val="white"/>
        </w:rPr>
      </w:pPr>
      <w:r>
        <w:rPr>
          <w:color w:val="222222"/>
          <w:highlight w:val="white"/>
        </w:rPr>
        <w:tab/>
        <w:t>La mayoría de los trabajadores del frigorífico se refugiaron en el barrio de Mataderos</w:t>
      </w:r>
      <w:r>
        <w:rPr>
          <w:color w:val="222222"/>
          <w:highlight w:val="white"/>
          <w:vertAlign w:val="superscript"/>
        </w:rPr>
        <w:footnoteReference w:id="4"/>
      </w:r>
      <w:r>
        <w:rPr>
          <w:color w:val="222222"/>
          <w:highlight w:val="white"/>
        </w:rPr>
        <w:t>, que se organizó de inmediato para enfrentar a las fuerzas de seguridad, multiplicando las barricadas, cubriendo las calles con clavos miguelitos, cortando la luz y atacando a la policía desde las azoteas de las casas</w:t>
      </w:r>
    </w:p>
    <w:p w:rsidR="00FB773E" w:rsidRDefault="00FB773E" w:rsidP="00FB773E">
      <w:pPr>
        <w:pBdr>
          <w:top w:val="nil"/>
          <w:left w:val="nil"/>
          <w:bottom w:val="nil"/>
          <w:right w:val="nil"/>
          <w:between w:val="nil"/>
        </w:pBdr>
        <w:shd w:val="clear" w:color="auto" w:fill="FFFFFF"/>
        <w:spacing w:line="360" w:lineRule="auto"/>
        <w:rPr>
          <w:color w:val="222222"/>
          <w:highlight w:val="white"/>
        </w:rPr>
      </w:pPr>
      <w:r>
        <w:rPr>
          <w:color w:val="222222"/>
          <w:highlight w:val="white"/>
        </w:rPr>
        <w:tab/>
        <w:t>La lucha en las calles se extendió durante tres días. El miércoles 21, las “</w:t>
      </w:r>
      <w:r>
        <w:rPr>
          <w:i/>
          <w:color w:val="222222"/>
          <w:highlight w:val="white"/>
        </w:rPr>
        <w:t>62 Organizaciones</w:t>
      </w:r>
      <w:r>
        <w:rPr>
          <w:color w:val="222222"/>
          <w:highlight w:val="white"/>
        </w:rPr>
        <w:t xml:space="preserve">” decidieron levantar la huelga general, que ya llevaba cinco días. El gobierno encarceló a Borro y despidió a 5.000 trabajadores. La venta del frigorífico </w:t>
      </w:r>
      <w:r>
        <w:rPr>
          <w:color w:val="222222"/>
          <w:highlight w:val="white"/>
        </w:rPr>
        <w:lastRenderedPageBreak/>
        <w:t xml:space="preserve">fracasó, pero el gobierno de todos modos se la cedió a la corporación de empresarios frigoríficos (CAP), a pesar de que el sindicato de la carne había presentado un proyecto alternativo de autogestión cooperativa. </w:t>
      </w:r>
    </w:p>
    <w:p w:rsidR="00FB773E" w:rsidRDefault="00FB773E" w:rsidP="00FB773E">
      <w:pPr>
        <w:pBdr>
          <w:top w:val="nil"/>
          <w:left w:val="nil"/>
          <w:bottom w:val="nil"/>
          <w:right w:val="nil"/>
          <w:between w:val="nil"/>
        </w:pBdr>
        <w:shd w:val="clear" w:color="auto" w:fill="FFFFFF"/>
        <w:spacing w:line="360" w:lineRule="auto"/>
        <w:rPr>
          <w:color w:val="222222"/>
          <w:highlight w:val="white"/>
        </w:rPr>
      </w:pPr>
      <w:r>
        <w:rPr>
          <w:color w:val="222222"/>
          <w:highlight w:val="white"/>
        </w:rPr>
        <w:tab/>
        <w:t>En 1974 por una comisión de la Cámara de Diputados descubrió que la CAP y el gobierno de Frondizi habían incurrido en actos de corrupción, pero la dictadura militar instalada en 1976, interrumpió definitivamente la investigación de los crímenes cometidos en la privatización del Frigorífico Lisandro de la Torre y ordenando su demolición en 1979.</w:t>
      </w:r>
    </w:p>
    <w:p w:rsidR="00FB773E" w:rsidRDefault="00FB773E" w:rsidP="00FB773E">
      <w:pPr>
        <w:spacing w:line="360" w:lineRule="auto"/>
        <w:rPr>
          <w:color w:val="221F1F"/>
        </w:rPr>
      </w:pPr>
      <w:r>
        <w:rPr>
          <w:color w:val="221F1F"/>
        </w:rPr>
        <w:tab/>
        <w:t>La fama de Mataderos, barrio obrero y peronista, de resistencia y de luchas populares, escribió una página de su historia un 24 de octubre de 1981. Aquella tarde, cuarenta y nueve personas (según los diarios de la época) o un centenar (según los protagonistas) fueron detenidos por cantar la marcha peronista durante un partido entre Nueva Chicago y Defensores de Belgrano.</w:t>
      </w:r>
    </w:p>
    <w:p w:rsidR="00FB773E" w:rsidRDefault="00FB773E" w:rsidP="00FB773E">
      <w:pPr>
        <w:pBdr>
          <w:top w:val="nil"/>
          <w:left w:val="nil"/>
          <w:bottom w:val="nil"/>
          <w:right w:val="nil"/>
          <w:between w:val="nil"/>
        </w:pBdr>
        <w:spacing w:line="360" w:lineRule="auto"/>
        <w:rPr>
          <w:i/>
          <w:color w:val="221F1F"/>
        </w:rPr>
      </w:pPr>
      <w:r>
        <w:rPr>
          <w:rFonts w:ascii="Helvetica Neue" w:eastAsia="Helvetica Neue" w:hAnsi="Helvetica Neue" w:cs="Helvetica Neue"/>
          <w:color w:val="221F1F"/>
          <w:sz w:val="23"/>
          <w:szCs w:val="23"/>
        </w:rPr>
        <w:tab/>
      </w:r>
      <w:r>
        <w:rPr>
          <w:color w:val="221F1F"/>
        </w:rPr>
        <w:t xml:space="preserve">El ingeniero Miguel Aquino no olvidó aquella tarde, la única vez que estuvo entre rejas: </w:t>
      </w:r>
      <w:r>
        <w:rPr>
          <w:i/>
          <w:color w:val="221F1F"/>
        </w:rPr>
        <w:t>“todo empezó en la tribuna de madera bajita. Unos muchachos empezaron a cantar la marcha. La Policía se puso un poco loquita y comenzó la represión.</w:t>
      </w:r>
    </w:p>
    <w:p w:rsidR="00FB773E" w:rsidRDefault="00FB773E" w:rsidP="00FB773E">
      <w:pPr>
        <w:pBdr>
          <w:top w:val="nil"/>
          <w:left w:val="nil"/>
          <w:bottom w:val="nil"/>
          <w:right w:val="nil"/>
          <w:between w:val="nil"/>
        </w:pBdr>
        <w:spacing w:line="360" w:lineRule="auto"/>
        <w:rPr>
          <w:i/>
          <w:color w:val="221F1F"/>
        </w:rPr>
      </w:pPr>
      <w:r>
        <w:rPr>
          <w:i/>
          <w:color w:val="221F1F"/>
        </w:rPr>
        <w:tab/>
        <w:t>Cuando empezamos a cantar la marcha, a quienes sentimos el peronismo se nos hizo muy difícil controlarnos y perdimos el miedo, aunque estuviéramos en la dictadura. Para ellos, la marcha era una provocación. La cantamos toda. Con ganas y bronca. Y fueron a buscarnos.</w:t>
      </w:r>
    </w:p>
    <w:p w:rsidR="00FB773E" w:rsidRDefault="00FB773E" w:rsidP="00FB773E">
      <w:pPr>
        <w:pBdr>
          <w:top w:val="nil"/>
          <w:left w:val="nil"/>
          <w:bottom w:val="nil"/>
          <w:right w:val="nil"/>
          <w:between w:val="nil"/>
        </w:pBdr>
        <w:spacing w:line="360" w:lineRule="auto"/>
        <w:rPr>
          <w:i/>
          <w:color w:val="221F1F"/>
        </w:rPr>
      </w:pPr>
      <w:r>
        <w:rPr>
          <w:i/>
          <w:color w:val="221F1F"/>
        </w:rPr>
        <w:tab/>
        <w:t>Daban palo a diestra y siniestra, y lo cómico de esto es que a muchos se los llevaron trotando. Había un chico que estaba en la puerta de su casa tomando mate y se 2lo llevaron también. Quedó treinta días preso no sé por qué. Lo mío fue más de status, porque estaba en la platea y me llevaron en auto. Tenían marcados a muchos y nos pusieron contra la pared y dijeron “éste, éste”.</w:t>
      </w:r>
    </w:p>
    <w:p w:rsidR="00FB773E" w:rsidRDefault="00FB773E" w:rsidP="00FB773E">
      <w:pPr>
        <w:pBdr>
          <w:top w:val="nil"/>
          <w:left w:val="nil"/>
          <w:bottom w:val="nil"/>
          <w:right w:val="nil"/>
          <w:between w:val="nil"/>
        </w:pBdr>
        <w:spacing w:line="360" w:lineRule="auto"/>
        <w:rPr>
          <w:i/>
          <w:color w:val="221F1F"/>
        </w:rPr>
      </w:pPr>
    </w:p>
    <w:p w:rsidR="00FB773E" w:rsidRDefault="00FB773E" w:rsidP="00FB773E">
      <w:pPr>
        <w:spacing w:line="360" w:lineRule="auto"/>
      </w:pPr>
      <w:r>
        <w:tab/>
        <w:t>Por ordenanza Nº 452966 publicada el 27 de enero de 1993, se instituye el 14 de abril de cada año como</w:t>
      </w:r>
      <w:r>
        <w:rPr>
          <w:b/>
        </w:rPr>
        <w:t xml:space="preserve"> </w:t>
      </w:r>
      <w:r>
        <w:t>"</w:t>
      </w:r>
      <w:r>
        <w:rPr>
          <w:i/>
        </w:rPr>
        <w:t>Día del Barrio de Mataderos</w:t>
      </w:r>
      <w:r>
        <w:t xml:space="preserve">". </w:t>
      </w:r>
    </w:p>
    <w:p w:rsidR="00FB773E" w:rsidRDefault="00FB773E" w:rsidP="00FB773E">
      <w:pPr>
        <w:spacing w:line="360" w:lineRule="auto"/>
        <w:ind w:firstLine="708"/>
      </w:pPr>
      <w:r>
        <w:t xml:space="preserve">Estas raíces con las que nació este barrio tan tradicional, y que se mantienen y fortalecen en la actualidad, siguen definiendo su condición y una fisonomía única en la Ciudad, atravesando épocas de esplendor y crisis que acompañaron la historia de nuestro país. </w:t>
      </w:r>
    </w:p>
    <w:p w:rsidR="00FB773E" w:rsidRDefault="00FB773E" w:rsidP="00FB773E">
      <w:pPr>
        <w:spacing w:line="360" w:lineRule="auto"/>
      </w:pPr>
      <w:r>
        <w:tab/>
        <w:t>Ya en el 2019, esta Legislatura, por resolución 33-2019, votó la colocación de una placa en el marco de los 130 años de un barrio que fortalece y  rescata el acervo, la historia y la cultura de la ciudad.</w:t>
      </w:r>
    </w:p>
    <w:p w:rsidR="00FB773E" w:rsidRDefault="00FB773E" w:rsidP="00FB773E">
      <w:pPr>
        <w:spacing w:line="360" w:lineRule="auto"/>
      </w:pPr>
      <w:r>
        <w:tab/>
        <w:t xml:space="preserve">Por todo lo antes mencionado, solicito el acompañamiento y sanción de la presente declaración. </w:t>
      </w:r>
    </w:p>
    <w:p w:rsidR="00AF6352" w:rsidRPr="00FB773E" w:rsidRDefault="00AF6352" w:rsidP="00FB773E"/>
    <w:p w:rsidR="00B177FE" w:rsidRPr="00FB773E" w:rsidRDefault="00B177FE" w:rsidP="00081FFF">
      <w:pPr>
        <w:rPr>
          <w:lang w:val="es-MX"/>
        </w:rPr>
      </w:pPr>
    </w:p>
    <w:p w:rsidR="00B177FE" w:rsidRPr="00FB773E" w:rsidRDefault="00B177FE" w:rsidP="00081FFF">
      <w:pPr>
        <w:rPr>
          <w:lang w:val="es-MX"/>
        </w:rPr>
      </w:pPr>
    </w:p>
    <w:p w:rsidR="00AF6352" w:rsidRPr="00FB773E" w:rsidRDefault="00AF6352" w:rsidP="00081FFF">
      <w:pPr>
        <w:rPr>
          <w:lang w:val="es-MX"/>
        </w:rPr>
      </w:pPr>
    </w:p>
    <w:sectPr w:rsidR="00AF6352" w:rsidRPr="00FB773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371" w:rsidRDefault="006F1371">
      <w:r>
        <w:separator/>
      </w:r>
    </w:p>
  </w:endnote>
  <w:endnote w:type="continuationSeparator" w:id="1">
    <w:p w:rsidR="006F1371" w:rsidRDefault="006F13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B773E" w:rsidRDefault="00601A75">
    <w:pPr>
      <w:pStyle w:val="Piedepgina"/>
      <w:rPr>
        <w:color w:val="333333"/>
        <w:sz w:val="20"/>
      </w:rPr>
    </w:pPr>
    <w:bookmarkStart w:id="0" w:name="Proyecto"/>
    <w:bookmarkEnd w:id="0"/>
  </w:p>
  <w:p w:rsidR="00601A75" w:rsidRPr="00FB773E" w:rsidRDefault="00601A75">
    <w:pPr>
      <w:pStyle w:val="Piedepgina"/>
      <w:rPr>
        <w:color w:val="333333"/>
        <w:sz w:val="20"/>
      </w:rPr>
    </w:pPr>
    <w:r w:rsidRPr="00FB773E">
      <w:rPr>
        <w:color w:val="333333"/>
        <w:sz w:val="20"/>
      </w:rPr>
      <w:t xml:space="preserve">Último cambio: </w:t>
    </w:r>
    <w:fldSimple w:instr=" SAVEDATE  \* MERGEFORMAT ">
      <w:r w:rsidR="00FB773E">
        <w:rPr>
          <w:noProof/>
          <w:color w:val="333333"/>
          <w:sz w:val="20"/>
        </w:rPr>
        <w:t>00/00/0000 0:00:00</w:t>
      </w:r>
    </w:fldSimple>
    <w:r w:rsidRPr="00FB773E">
      <w:rPr>
        <w:color w:val="333333"/>
        <w:sz w:val="20"/>
      </w:rPr>
      <w:t xml:space="preserve">  -  Cantidad de caracteres: </w:t>
    </w:r>
    <w:fldSimple w:instr=" NUMCHARS  \* MERGEFORMAT ">
      <w:r w:rsidR="00FB773E">
        <w:rPr>
          <w:noProof/>
          <w:color w:val="333333"/>
          <w:sz w:val="20"/>
        </w:rPr>
        <w:t>11555</w:t>
      </w:r>
    </w:fldSimple>
    <w:r w:rsidRPr="00FB773E">
      <w:rPr>
        <w:color w:val="333333"/>
        <w:sz w:val="20"/>
      </w:rPr>
      <w:t xml:space="preserve"> - Cantidad de palabras: </w:t>
    </w:r>
    <w:fldSimple w:instr=" NUMWORDS  \* MERGEFORMAT ">
      <w:r w:rsidR="00FB773E">
        <w:rPr>
          <w:noProof/>
          <w:color w:val="333333"/>
          <w:sz w:val="20"/>
        </w:rPr>
        <w:t>2288</w:t>
      </w:r>
    </w:fldSimple>
  </w:p>
  <w:p w:rsidR="00601A75" w:rsidRPr="00FB773E" w:rsidRDefault="00601A75" w:rsidP="00B05649">
    <w:pPr>
      <w:pStyle w:val="Piedepgina"/>
      <w:tabs>
        <w:tab w:val="left" w:pos="3565"/>
      </w:tabs>
      <w:rPr>
        <w:rStyle w:val="Nmerodepgina"/>
        <w:color w:val="333333"/>
      </w:rPr>
    </w:pPr>
    <w:r w:rsidRPr="00FB773E">
      <w:rPr>
        <w:color w:val="333333"/>
        <w:sz w:val="20"/>
      </w:rPr>
      <w:tab/>
      <w:t>Pág.</w:t>
    </w:r>
    <w:r w:rsidRPr="00FB773E">
      <w:rPr>
        <w:color w:val="333333"/>
      </w:rPr>
      <w:t xml:space="preserve"> </w:t>
    </w:r>
    <w:r w:rsidRPr="00FB773E">
      <w:rPr>
        <w:rStyle w:val="Nmerodepgina"/>
        <w:color w:val="333333"/>
      </w:rPr>
      <w:fldChar w:fldCharType="begin"/>
    </w:r>
    <w:r w:rsidRPr="00FB773E">
      <w:rPr>
        <w:rStyle w:val="Nmerodepgina"/>
        <w:color w:val="333333"/>
      </w:rPr>
      <w:instrText xml:space="preserve"> PAGE </w:instrText>
    </w:r>
    <w:r w:rsidRPr="00FB773E">
      <w:rPr>
        <w:rStyle w:val="Nmerodepgina"/>
        <w:color w:val="333333"/>
      </w:rPr>
      <w:fldChar w:fldCharType="separate"/>
    </w:r>
    <w:r w:rsidR="00FB773E">
      <w:rPr>
        <w:rStyle w:val="Nmerodepgina"/>
        <w:noProof/>
        <w:color w:val="333333"/>
      </w:rPr>
      <w:t>7</w:t>
    </w:r>
    <w:r w:rsidRPr="00FB773E">
      <w:rPr>
        <w:rStyle w:val="Nmerodepgina"/>
        <w:color w:val="333333"/>
      </w:rPr>
      <w:fldChar w:fldCharType="end"/>
    </w:r>
    <w:r w:rsidRPr="00FB773E">
      <w:rPr>
        <w:rStyle w:val="Nmerodepgina"/>
        <w:color w:val="333333"/>
      </w:rPr>
      <w:t>/</w:t>
    </w:r>
    <w:fldSimple w:instr=" NUMPAGES  \* MERGEFORMAT ">
      <w:r w:rsidR="00FB773E">
        <w:rPr>
          <w:rStyle w:val="Nmerodepgina"/>
          <w:noProof/>
          <w:color w:val="333333"/>
        </w:rPr>
        <w:t>7</w:t>
      </w:r>
    </w:fldSimple>
    <w:r w:rsidRPr="00FB773E">
      <w:rPr>
        <w:rStyle w:val="Nmerodepgina"/>
        <w:color w:val="333333"/>
      </w:rPr>
      <w:t xml:space="preserve"> </w:t>
    </w:r>
  </w:p>
  <w:p w:rsidR="00601A75" w:rsidRPr="00FB773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371" w:rsidRDefault="006F1371">
      <w:r>
        <w:separator/>
      </w:r>
    </w:p>
  </w:footnote>
  <w:footnote w:type="continuationSeparator" w:id="1">
    <w:p w:rsidR="006F1371" w:rsidRDefault="006F1371">
      <w:r>
        <w:continuationSeparator/>
      </w:r>
    </w:p>
  </w:footnote>
  <w:footnote w:id="2">
    <w:p w:rsidR="00FB773E" w:rsidRDefault="00FB773E" w:rsidP="00FB773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Carros bajos, fuertes, como vagonetas que circulan por las vías</w:t>
      </w:r>
    </w:p>
  </w:footnote>
  <w:footnote w:id="3">
    <w:p w:rsidR="00FB773E" w:rsidRDefault="00FB773E" w:rsidP="00FB773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Jóvenes sin estudios por causas económicas</w:t>
      </w:r>
    </w:p>
  </w:footnote>
  <w:footnote w:id="4">
    <w:p w:rsidR="00FB773E" w:rsidRDefault="00FB773E" w:rsidP="00FB773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En 1972 se estableció los límites oficiales de los barrios y sus respectivos nombres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B773E"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F137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F1371"/>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773E"/>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73E"/>
    <w:pPr>
      <w:jc w:val="both"/>
    </w:pPr>
    <w:rPr>
      <w:sz w:val="24"/>
      <w:szCs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rPr>
      <w:szCs w:val="20"/>
    </w:rPr>
  </w:style>
  <w:style w:type="paragraph" w:styleId="Piedepgina">
    <w:name w:val="footer"/>
    <w:basedOn w:val="Normal"/>
    <w:pPr>
      <w:tabs>
        <w:tab w:val="center" w:pos="4419"/>
        <w:tab w:val="right" w:pos="8838"/>
      </w:tabs>
    </w:pPr>
    <w:rPr>
      <w:szCs w:val="20"/>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7</Pages>
  <Words>2308</Words>
  <Characters>11658</Characters>
  <Application>Microsoft Office Word</Application>
  <DocSecurity>0</DocSecurity>
  <Lines>253</Lines>
  <Paragraphs>49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2022-04-01T14:58:00Z</dcterms:created>
  <dcterms:modified xsi:type="dcterms:W3CDTF">2022-04-01T14:59:00Z</dcterms:modified>
</cp:coreProperties>
</file>