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358A" w:rsidRDefault="0063358A" w:rsidP="0063358A">
      <w:pPr>
        <w:spacing w:after="0" w:line="360" w:lineRule="auto"/>
        <w:jc w:val="center"/>
        <w:rPr>
          <w:rFonts w:ascii="Times New Roman" w:hAnsi="Times New Roman" w:cs="Times New Roman"/>
          <w:b/>
          <w:sz w:val="24"/>
          <w:szCs w:val="24"/>
          <w:lang w:val="es-MX"/>
        </w:rPr>
      </w:pPr>
      <w:r w:rsidRPr="0063358A">
        <w:rPr>
          <w:rFonts w:ascii="Times New Roman" w:hAnsi="Times New Roman" w:cs="Times New Roman"/>
          <w:b/>
          <w:sz w:val="24"/>
          <w:szCs w:val="24"/>
          <w:lang w:val="es-MX"/>
        </w:rPr>
        <w:t>PROYECTO DE RESOLUCIÓN</w:t>
      </w:r>
    </w:p>
    <w:p w:rsidR="0063358A" w:rsidRPr="0063358A" w:rsidRDefault="0063358A" w:rsidP="0063358A">
      <w:pPr>
        <w:spacing w:after="0" w:line="360" w:lineRule="auto"/>
        <w:jc w:val="center"/>
        <w:rPr>
          <w:rFonts w:ascii="Times New Roman" w:hAnsi="Times New Roman" w:cs="Times New Roman"/>
          <w:b/>
          <w:sz w:val="24"/>
          <w:szCs w:val="24"/>
          <w:lang w:val="es-MX"/>
        </w:rPr>
      </w:pPr>
    </w:p>
    <w:p w:rsidR="0063358A" w:rsidRPr="0063358A" w:rsidRDefault="0063358A" w:rsidP="0063358A">
      <w:pPr>
        <w:spacing w:after="0" w:line="360" w:lineRule="auto"/>
        <w:jc w:val="both"/>
        <w:rPr>
          <w:rFonts w:ascii="Times New Roman" w:hAnsi="Times New Roman" w:cs="Times New Roman"/>
          <w:sz w:val="24"/>
          <w:szCs w:val="24"/>
        </w:rPr>
      </w:pPr>
      <w:r w:rsidRPr="0063358A">
        <w:rPr>
          <w:rFonts w:ascii="Times New Roman" w:hAnsi="Times New Roman" w:cs="Times New Roman"/>
          <w:b/>
          <w:sz w:val="24"/>
          <w:szCs w:val="24"/>
          <w:lang w:val="es-MX"/>
        </w:rPr>
        <w:t>Artículo 1°.-</w:t>
      </w:r>
      <w:r w:rsidRPr="0063358A">
        <w:rPr>
          <w:rFonts w:ascii="Times New Roman" w:hAnsi="Times New Roman" w:cs="Times New Roman"/>
          <w:sz w:val="24"/>
          <w:szCs w:val="24"/>
          <w:lang w:val="es-MX"/>
        </w:rPr>
        <w:t xml:space="preserve"> El Poder Ejecutivo informará a la Legislatura de la Ciudad Autónoma de Buenos Aires en un plazo de 30 (treinta) días de recibida la presente y a través de los organismos correspondientes, acerca de los siguientes hechos, vinculados con la inclusión en el Anuario Estadístico de la Ciudad de </w:t>
      </w:r>
      <w:r w:rsidRPr="0063358A">
        <w:rPr>
          <w:rFonts w:ascii="Times New Roman" w:hAnsi="Times New Roman" w:cs="Times New Roman"/>
          <w:sz w:val="24"/>
          <w:szCs w:val="24"/>
        </w:rPr>
        <w:t>estadísticas oficiales como el precio promedio de departamentos en alquiler y venta en la Ciudad de Buenos Aires, su distribución porcentual por comuna y otros, en base a las publicaciones del portal Argenprop:</w:t>
      </w:r>
    </w:p>
    <w:p w:rsidR="0063358A" w:rsidRPr="0063358A" w:rsidRDefault="0063358A" w:rsidP="0063358A">
      <w:pPr>
        <w:pStyle w:val="Prrafodelista"/>
        <w:numPr>
          <w:ilvl w:val="0"/>
          <w:numId w:val="1"/>
        </w:numPr>
        <w:spacing w:after="0" w:line="360" w:lineRule="auto"/>
        <w:jc w:val="both"/>
        <w:rPr>
          <w:rFonts w:ascii="Times New Roman" w:hAnsi="Times New Roman" w:cs="Times New Roman"/>
          <w:sz w:val="24"/>
          <w:szCs w:val="24"/>
        </w:rPr>
      </w:pPr>
      <w:r w:rsidRPr="0063358A">
        <w:rPr>
          <w:rFonts w:ascii="Times New Roman" w:hAnsi="Times New Roman" w:cs="Times New Roman"/>
          <w:sz w:val="24"/>
          <w:szCs w:val="24"/>
        </w:rPr>
        <w:t xml:space="preserve">De acuerdo al Principio de “Recursos adecuados”, punto 4.3 del Manual de Buenas Prácticas de esa Dirección General, que reza que “La inclusión, continuidad o exclusión de las estadísticas oficiales es evaluada periódicamente por los responsables de la producción estadística con el fin de optimizar los recursos”, indique los motivos que condujeron a la inclusión de dichos datos como estadísticas oficiales. </w:t>
      </w:r>
    </w:p>
    <w:p w:rsidR="0063358A" w:rsidRPr="0063358A" w:rsidRDefault="0063358A" w:rsidP="0063358A">
      <w:pPr>
        <w:pStyle w:val="Prrafodelista"/>
        <w:numPr>
          <w:ilvl w:val="0"/>
          <w:numId w:val="1"/>
        </w:numPr>
        <w:spacing w:after="0" w:line="360" w:lineRule="auto"/>
        <w:jc w:val="both"/>
        <w:rPr>
          <w:rFonts w:ascii="Times New Roman" w:hAnsi="Times New Roman" w:cs="Times New Roman"/>
          <w:sz w:val="24"/>
          <w:szCs w:val="24"/>
        </w:rPr>
      </w:pPr>
      <w:r w:rsidRPr="0063358A">
        <w:rPr>
          <w:rFonts w:ascii="Times New Roman" w:hAnsi="Times New Roman" w:cs="Times New Roman"/>
          <w:sz w:val="24"/>
          <w:szCs w:val="24"/>
        </w:rPr>
        <w:t xml:space="preserve">Informe los motivos por los cuáles se eligió al portal Argenprop.com.ar como fuente secundaria y cómo la utilización de los datos volcados en ese portal cumple con los principios de Independencia Profesional; Compromiso con la Calidad; e Imparcialidad y Objetividad. </w:t>
      </w:r>
    </w:p>
    <w:p w:rsidR="0063358A" w:rsidRPr="0063358A" w:rsidRDefault="0063358A" w:rsidP="0063358A">
      <w:pPr>
        <w:pStyle w:val="Prrafodelista"/>
        <w:numPr>
          <w:ilvl w:val="0"/>
          <w:numId w:val="1"/>
        </w:numPr>
        <w:spacing w:after="0" w:line="360" w:lineRule="auto"/>
        <w:jc w:val="both"/>
        <w:rPr>
          <w:rFonts w:ascii="Times New Roman" w:hAnsi="Times New Roman" w:cs="Times New Roman"/>
          <w:sz w:val="24"/>
          <w:szCs w:val="24"/>
        </w:rPr>
      </w:pPr>
      <w:r w:rsidRPr="0063358A">
        <w:rPr>
          <w:rFonts w:ascii="Times New Roman" w:hAnsi="Times New Roman" w:cs="Times New Roman"/>
          <w:sz w:val="24"/>
          <w:szCs w:val="24"/>
        </w:rPr>
        <w:t>Si esa Dirección General considera que la muestra así obtenida es sesgada. En caso negativo, fundamente. En caso afirmativo, indique los procedimientos estadísticos empleados para tratar ese sesgo.</w:t>
      </w:r>
    </w:p>
    <w:p w:rsidR="0063358A" w:rsidRPr="0063358A" w:rsidRDefault="0063358A" w:rsidP="0063358A">
      <w:pPr>
        <w:pStyle w:val="Prrafodelista"/>
        <w:numPr>
          <w:ilvl w:val="0"/>
          <w:numId w:val="1"/>
        </w:numPr>
        <w:spacing w:after="0" w:line="360" w:lineRule="auto"/>
        <w:jc w:val="both"/>
        <w:rPr>
          <w:rFonts w:ascii="Times New Roman" w:hAnsi="Times New Roman" w:cs="Times New Roman"/>
          <w:sz w:val="24"/>
          <w:szCs w:val="24"/>
        </w:rPr>
      </w:pPr>
      <w:r w:rsidRPr="0063358A">
        <w:rPr>
          <w:rFonts w:ascii="Times New Roman" w:hAnsi="Times New Roman" w:cs="Times New Roman"/>
          <w:sz w:val="24"/>
          <w:szCs w:val="24"/>
        </w:rPr>
        <w:t xml:space="preserve">Detalle dinámica de funcionamiento de dicho portal, fuente, formas de recolección y clasificación de los datos primarios, agentes de carga, permisos de acceso, certificaciones de procesos, etc.  </w:t>
      </w:r>
    </w:p>
    <w:p w:rsidR="0063358A" w:rsidRPr="0063358A" w:rsidRDefault="0063358A" w:rsidP="0063358A">
      <w:pPr>
        <w:pStyle w:val="Prrafodelista"/>
        <w:numPr>
          <w:ilvl w:val="0"/>
          <w:numId w:val="1"/>
        </w:numPr>
        <w:spacing w:after="0" w:line="360" w:lineRule="auto"/>
        <w:jc w:val="both"/>
        <w:rPr>
          <w:rFonts w:ascii="Times New Roman" w:hAnsi="Times New Roman" w:cs="Times New Roman"/>
          <w:sz w:val="24"/>
          <w:szCs w:val="24"/>
        </w:rPr>
      </w:pPr>
      <w:r w:rsidRPr="0063358A">
        <w:rPr>
          <w:rFonts w:ascii="Times New Roman" w:hAnsi="Times New Roman" w:cs="Times New Roman"/>
          <w:sz w:val="24"/>
          <w:szCs w:val="24"/>
        </w:rPr>
        <w:t>Especifique si se han firmado acuerdos y/o convenios con el sitio a fin de establecer el compromiso común para el uso de dichos datos con fines estadísticos. En caso afirmativo, remita copia indique si dicho compromiso comporta costo alguno para el GCABA.</w:t>
      </w:r>
    </w:p>
    <w:p w:rsidR="0063358A" w:rsidRPr="0063358A" w:rsidRDefault="0063358A" w:rsidP="0063358A">
      <w:pPr>
        <w:pStyle w:val="Prrafodelista"/>
        <w:numPr>
          <w:ilvl w:val="0"/>
          <w:numId w:val="1"/>
        </w:numPr>
        <w:spacing w:after="0" w:line="360" w:lineRule="auto"/>
        <w:jc w:val="both"/>
        <w:rPr>
          <w:rFonts w:ascii="Times New Roman" w:hAnsi="Times New Roman" w:cs="Times New Roman"/>
          <w:sz w:val="24"/>
          <w:szCs w:val="24"/>
        </w:rPr>
      </w:pPr>
      <w:r w:rsidRPr="0063358A">
        <w:rPr>
          <w:rFonts w:ascii="Times New Roman" w:hAnsi="Times New Roman" w:cs="Times New Roman"/>
          <w:sz w:val="24"/>
          <w:szCs w:val="24"/>
        </w:rPr>
        <w:t>Indique la metodología utilizada por esa Dirección General en el procesamiento de dichos datos y en la construcción de la estadística oficial (validación, verificación, selección y ponderación de la muestra, corrección de desvíos, etc.).</w:t>
      </w:r>
    </w:p>
    <w:p w:rsidR="0063358A" w:rsidRPr="0063358A" w:rsidRDefault="0063358A" w:rsidP="0063358A">
      <w:pPr>
        <w:pStyle w:val="Prrafodelista"/>
        <w:spacing w:after="0" w:line="360" w:lineRule="auto"/>
        <w:jc w:val="both"/>
        <w:rPr>
          <w:rFonts w:ascii="Times New Roman" w:hAnsi="Times New Roman" w:cs="Times New Roman"/>
          <w:sz w:val="24"/>
          <w:szCs w:val="24"/>
        </w:rPr>
      </w:pPr>
    </w:p>
    <w:p w:rsidR="0063358A" w:rsidRPr="0063358A" w:rsidRDefault="0063358A" w:rsidP="0063358A">
      <w:pPr>
        <w:pStyle w:val="Prrafodelista"/>
        <w:spacing w:after="0" w:line="360" w:lineRule="auto"/>
        <w:ind w:left="0"/>
        <w:jc w:val="both"/>
        <w:rPr>
          <w:rFonts w:ascii="Times New Roman" w:hAnsi="Times New Roman" w:cs="Times New Roman"/>
          <w:sz w:val="24"/>
          <w:szCs w:val="24"/>
        </w:rPr>
      </w:pPr>
      <w:r w:rsidRPr="0063358A">
        <w:rPr>
          <w:rFonts w:ascii="Times New Roman" w:hAnsi="Times New Roman" w:cs="Times New Roman"/>
          <w:b/>
          <w:sz w:val="24"/>
          <w:szCs w:val="24"/>
        </w:rPr>
        <w:t>Artículo 2°.-</w:t>
      </w:r>
      <w:r w:rsidRPr="0063358A">
        <w:rPr>
          <w:rFonts w:ascii="Times New Roman" w:hAnsi="Times New Roman" w:cs="Times New Roman"/>
          <w:sz w:val="24"/>
          <w:szCs w:val="24"/>
        </w:rPr>
        <w:t xml:space="preserve"> Comuníquese, etc.</w:t>
      </w:r>
    </w:p>
    <w:p w:rsidR="0063358A" w:rsidRDefault="0063358A" w:rsidP="0063358A">
      <w:pPr>
        <w:pStyle w:val="Prrafodelista"/>
        <w:spacing w:after="0" w:line="360" w:lineRule="auto"/>
        <w:ind w:left="0"/>
        <w:jc w:val="both"/>
        <w:rPr>
          <w:rFonts w:ascii="Times New Roman" w:hAnsi="Times New Roman" w:cs="Times New Roman"/>
          <w:sz w:val="24"/>
          <w:szCs w:val="24"/>
        </w:rPr>
      </w:pPr>
    </w:p>
    <w:p w:rsidR="0063358A" w:rsidRPr="0063358A" w:rsidRDefault="0063358A" w:rsidP="0063358A">
      <w:pPr>
        <w:pStyle w:val="Prrafodelista"/>
        <w:spacing w:after="0" w:line="360" w:lineRule="auto"/>
        <w:ind w:left="0"/>
        <w:jc w:val="both"/>
        <w:rPr>
          <w:rFonts w:ascii="Times New Roman" w:hAnsi="Times New Roman" w:cs="Times New Roman"/>
          <w:sz w:val="24"/>
          <w:szCs w:val="24"/>
        </w:rPr>
      </w:pPr>
    </w:p>
    <w:p w:rsidR="0063358A" w:rsidRPr="0063358A" w:rsidRDefault="0063358A" w:rsidP="0063358A">
      <w:pPr>
        <w:spacing w:after="0" w:line="360" w:lineRule="auto"/>
        <w:rPr>
          <w:rFonts w:ascii="Times New Roman" w:hAnsi="Times New Roman" w:cs="Times New Roman"/>
          <w:sz w:val="24"/>
          <w:szCs w:val="24"/>
        </w:rPr>
      </w:pPr>
    </w:p>
    <w:p w:rsidR="0063358A" w:rsidRPr="0063358A" w:rsidRDefault="0063358A" w:rsidP="0063358A">
      <w:pPr>
        <w:spacing w:after="0" w:line="360" w:lineRule="auto"/>
        <w:jc w:val="center"/>
        <w:rPr>
          <w:rFonts w:ascii="Times New Roman" w:hAnsi="Times New Roman" w:cs="Times New Roman"/>
          <w:b/>
          <w:sz w:val="24"/>
          <w:szCs w:val="24"/>
          <w:lang w:val="es-MX"/>
        </w:rPr>
      </w:pPr>
      <w:r w:rsidRPr="0063358A">
        <w:rPr>
          <w:rFonts w:ascii="Times New Roman" w:hAnsi="Times New Roman" w:cs="Times New Roman"/>
          <w:b/>
          <w:sz w:val="24"/>
          <w:szCs w:val="24"/>
          <w:lang w:val="es-MX"/>
        </w:rPr>
        <w:lastRenderedPageBreak/>
        <w:t>FUNDAMENTOS</w:t>
      </w:r>
    </w:p>
    <w:p w:rsidR="0063358A" w:rsidRPr="0063358A" w:rsidRDefault="0063358A" w:rsidP="0063358A">
      <w:pPr>
        <w:spacing w:after="0" w:line="360" w:lineRule="auto"/>
        <w:rPr>
          <w:rFonts w:ascii="Times New Roman" w:hAnsi="Times New Roman" w:cs="Times New Roman"/>
          <w:sz w:val="24"/>
          <w:szCs w:val="24"/>
          <w:lang w:val="es-MX"/>
        </w:rPr>
      </w:pPr>
    </w:p>
    <w:p w:rsidR="0063358A" w:rsidRPr="0063358A" w:rsidRDefault="0063358A" w:rsidP="0063358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Señor Presidente:</w:t>
      </w:r>
    </w:p>
    <w:p w:rsidR="0063358A" w:rsidRPr="0063358A" w:rsidRDefault="0063358A" w:rsidP="0063358A">
      <w:pPr>
        <w:spacing w:after="0" w:line="360" w:lineRule="auto"/>
        <w:ind w:firstLine="708"/>
        <w:jc w:val="both"/>
        <w:rPr>
          <w:rFonts w:ascii="Times New Roman" w:hAnsi="Times New Roman" w:cs="Times New Roman"/>
          <w:sz w:val="24"/>
          <w:szCs w:val="24"/>
        </w:rPr>
      </w:pPr>
      <w:r w:rsidRPr="0063358A">
        <w:rPr>
          <w:rFonts w:ascii="Times New Roman" w:hAnsi="Times New Roman" w:cs="Times New Roman"/>
          <w:sz w:val="24"/>
          <w:szCs w:val="24"/>
        </w:rPr>
        <w:t>El Sistema Estadístico Nacional (SEN) está integrado por los Servicios Estadísticos (SE) de los organismos nacionales, provinciales y municipales, que son las unidades orgánicas encargadas de elaborar, recopilar, interpretar y/o divulgar estadísticas oficiales.</w:t>
      </w:r>
    </w:p>
    <w:p w:rsidR="0063358A" w:rsidRPr="0063358A" w:rsidRDefault="0063358A" w:rsidP="0063358A">
      <w:pPr>
        <w:spacing w:after="0" w:line="360" w:lineRule="auto"/>
        <w:ind w:firstLine="708"/>
        <w:jc w:val="both"/>
        <w:rPr>
          <w:rFonts w:ascii="Times New Roman" w:hAnsi="Times New Roman" w:cs="Times New Roman"/>
          <w:sz w:val="24"/>
          <w:szCs w:val="24"/>
        </w:rPr>
      </w:pPr>
      <w:r w:rsidRPr="0063358A">
        <w:rPr>
          <w:rFonts w:ascii="Times New Roman" w:hAnsi="Times New Roman" w:cs="Times New Roman"/>
          <w:sz w:val="24"/>
          <w:szCs w:val="24"/>
        </w:rPr>
        <w:t xml:space="preserve">El primer organismo estadístico de la Ciudad de Buenos Aires fue creado en el año 1889 y fue la Dirección General de Estadística Municipal, que tendría a su cargo </w:t>
      </w:r>
      <w:r w:rsidRPr="0063358A">
        <w:rPr>
          <w:rFonts w:ascii="Times New Roman" w:hAnsi="Times New Roman" w:cs="Times New Roman"/>
          <w:i/>
          <w:sz w:val="24"/>
          <w:szCs w:val="24"/>
        </w:rPr>
        <w:t>“compilar los datos sobre el clima y condiciones higiénicas de la Ciudad (…); el movimiento demográfico de la misma (…); llevará al día el balance de las entradas y salidas de habitantes del territorio de la Capital (…); compilará una estadística de las transferencias y gravámenes de la propiedad; de todos los datos necesarios sobre movimiento de la instrucción primaria, secundaria y superior; de los crímenes, delitos y accidentes que ocurren en la Capital; los de la locomoción, alimentación y asistencia pública; los que sirvan para estudiar la marcha económica de la sociedad, y todos los que a juicio de su director, sean convenientes para hacer conocer a la ciudad dentro y fuera del país.”</w:t>
      </w:r>
    </w:p>
    <w:p w:rsidR="0063358A" w:rsidRDefault="0063358A" w:rsidP="0063358A">
      <w:pPr>
        <w:spacing w:after="0" w:line="360" w:lineRule="auto"/>
        <w:ind w:firstLine="708"/>
        <w:jc w:val="both"/>
        <w:rPr>
          <w:rFonts w:ascii="Times New Roman" w:hAnsi="Times New Roman" w:cs="Times New Roman"/>
          <w:sz w:val="24"/>
          <w:szCs w:val="24"/>
        </w:rPr>
      </w:pPr>
      <w:r w:rsidRPr="0063358A">
        <w:rPr>
          <w:rFonts w:ascii="Times New Roman" w:hAnsi="Times New Roman" w:cs="Times New Roman"/>
          <w:sz w:val="24"/>
          <w:szCs w:val="24"/>
          <w:lang w:val="es-MX"/>
        </w:rPr>
        <w:t xml:space="preserve">En 1968 se dictó el Decreto/Ley 17.622 que creó el Instituto Nacional de Estadísticas y Censos. En su artículo 4º, esta Ley establece que </w:t>
      </w:r>
      <w:r w:rsidRPr="0063358A">
        <w:rPr>
          <w:rFonts w:ascii="Times New Roman" w:hAnsi="Times New Roman" w:cs="Times New Roman"/>
          <w:i/>
          <w:sz w:val="24"/>
          <w:szCs w:val="24"/>
          <w:lang w:val="es-MX"/>
        </w:rPr>
        <w:t>“el Sistema Estadístico Nacional estará integrado por: a) El Instituto Nacional de Estadística y Censos; b) Los organismos centrales de estadística” y “</w:t>
      </w:r>
      <w:r w:rsidRPr="0063358A">
        <w:rPr>
          <w:rFonts w:ascii="Times New Roman" w:hAnsi="Times New Roman" w:cs="Times New Roman"/>
          <w:sz w:val="24"/>
          <w:szCs w:val="24"/>
        </w:rPr>
        <w:t xml:space="preserve">c) </w:t>
      </w:r>
      <w:r w:rsidRPr="0063358A">
        <w:rPr>
          <w:rFonts w:ascii="Times New Roman" w:hAnsi="Times New Roman" w:cs="Times New Roman"/>
          <w:i/>
          <w:sz w:val="24"/>
          <w:szCs w:val="24"/>
        </w:rPr>
        <w:t xml:space="preserve">Los organismos periféricos de estadística, que son: I) Los servicios estadísticos de los gobiernos provinciales II) Los servicios estadísticos de los gobiernos municipales III) Los servicios estadísticos de las reparticiones autárquicas y descentralizadas, provinciales y municipales IV) Los servicios estadísticos de las empresas provinciales y municipales V) Los servicios estadísticos de los entes interprovinciales”. </w:t>
      </w:r>
      <w:r w:rsidRPr="0063358A">
        <w:rPr>
          <w:rFonts w:ascii="Times New Roman" w:hAnsi="Times New Roman" w:cs="Times New Roman"/>
          <w:sz w:val="24"/>
          <w:szCs w:val="24"/>
        </w:rPr>
        <w:t>La norma fue reglamentada a nivel nacional por el Decreto Nº 3110/70.</w:t>
      </w:r>
      <w:r>
        <w:rPr>
          <w:rFonts w:ascii="Times New Roman" w:hAnsi="Times New Roman" w:cs="Times New Roman"/>
          <w:sz w:val="24"/>
          <w:szCs w:val="24"/>
        </w:rPr>
        <w:tab/>
      </w:r>
    </w:p>
    <w:p w:rsidR="0063358A" w:rsidRPr="0063358A" w:rsidRDefault="0063358A" w:rsidP="0063358A">
      <w:pPr>
        <w:spacing w:after="0" w:line="360" w:lineRule="auto"/>
        <w:ind w:firstLine="708"/>
        <w:jc w:val="both"/>
        <w:rPr>
          <w:rFonts w:ascii="Times New Roman" w:hAnsi="Times New Roman" w:cs="Times New Roman"/>
          <w:sz w:val="24"/>
          <w:szCs w:val="24"/>
        </w:rPr>
      </w:pPr>
      <w:r w:rsidRPr="0063358A">
        <w:rPr>
          <w:rFonts w:ascii="Times New Roman" w:hAnsi="Times New Roman" w:cs="Times New Roman"/>
          <w:sz w:val="24"/>
          <w:szCs w:val="24"/>
        </w:rPr>
        <w:t xml:space="preserve">A su vez, en 1979 se dictó la Ordenanza 35.386/79 que reguló el funcionamiento del Sistema Estadístico Municipal. En su artículo 4°, esta ordenanza estableció que </w:t>
      </w:r>
      <w:r w:rsidRPr="0063358A">
        <w:rPr>
          <w:rFonts w:ascii="Times New Roman" w:hAnsi="Times New Roman" w:cs="Times New Roman"/>
          <w:i/>
          <w:sz w:val="24"/>
          <w:szCs w:val="24"/>
        </w:rPr>
        <w:t>“la Dirección de Estadística y Censos (DEYC) es el único organismo integrante del SEM, autorizado para suministrar información estadística a reparticiones nacionales, provinciales y municipales, en los casos que ésta fuese requerida.”</w:t>
      </w:r>
    </w:p>
    <w:p w:rsidR="0063358A" w:rsidRPr="0063358A" w:rsidRDefault="0063358A" w:rsidP="0063358A">
      <w:pPr>
        <w:spacing w:after="0" w:line="360" w:lineRule="auto"/>
        <w:ind w:firstLine="708"/>
        <w:jc w:val="both"/>
        <w:rPr>
          <w:rFonts w:ascii="Times New Roman" w:hAnsi="Times New Roman" w:cs="Times New Roman"/>
          <w:sz w:val="24"/>
          <w:szCs w:val="24"/>
        </w:rPr>
      </w:pPr>
      <w:r w:rsidRPr="0063358A">
        <w:rPr>
          <w:rFonts w:ascii="Times New Roman" w:hAnsi="Times New Roman" w:cs="Times New Roman"/>
          <w:sz w:val="24"/>
          <w:szCs w:val="24"/>
        </w:rPr>
        <w:t xml:space="preserve">En su Anexo I, se menciona que </w:t>
      </w:r>
      <w:r w:rsidRPr="0063358A">
        <w:rPr>
          <w:rFonts w:ascii="Times New Roman" w:hAnsi="Times New Roman" w:cs="Times New Roman"/>
          <w:i/>
          <w:sz w:val="24"/>
          <w:szCs w:val="24"/>
        </w:rPr>
        <w:t xml:space="preserve">“2. </w:t>
      </w:r>
      <w:r w:rsidRPr="0063358A">
        <w:rPr>
          <w:rFonts w:ascii="Times New Roman" w:hAnsi="Times New Roman" w:cs="Times New Roman"/>
          <w:sz w:val="24"/>
          <w:szCs w:val="24"/>
        </w:rPr>
        <w:t xml:space="preserve">(el) </w:t>
      </w:r>
      <w:r w:rsidRPr="0063358A">
        <w:rPr>
          <w:rFonts w:ascii="Times New Roman" w:hAnsi="Times New Roman" w:cs="Times New Roman"/>
          <w:i/>
          <w:sz w:val="24"/>
          <w:szCs w:val="24"/>
        </w:rPr>
        <w:t xml:space="preserve">Sistema Estadístico Municipal: 2.1. Es el conjunto de elementos orgánicos que tiene por tarea agrupar metódicamente información referida a hechos y actividades ocurridos en el ámbito municipal, que se prestan a una valuación numérica, con la finalidad de permitir a los distintos niveles de </w:t>
      </w:r>
      <w:r w:rsidRPr="0063358A">
        <w:rPr>
          <w:rFonts w:ascii="Times New Roman" w:hAnsi="Times New Roman" w:cs="Times New Roman"/>
          <w:i/>
          <w:sz w:val="24"/>
          <w:szCs w:val="24"/>
        </w:rPr>
        <w:lastRenderedPageBreak/>
        <w:t>administración municipal, una correcta toma de decisiones, y además satisfacer otras necesidades públicas y privadas.”</w:t>
      </w:r>
    </w:p>
    <w:p w:rsidR="0063358A" w:rsidRPr="0063358A" w:rsidRDefault="0063358A" w:rsidP="0063358A">
      <w:pPr>
        <w:spacing w:after="0" w:line="360" w:lineRule="auto"/>
        <w:ind w:firstLine="708"/>
        <w:jc w:val="both"/>
        <w:rPr>
          <w:rFonts w:ascii="Times New Roman" w:hAnsi="Times New Roman" w:cs="Times New Roman"/>
          <w:sz w:val="24"/>
          <w:szCs w:val="24"/>
        </w:rPr>
      </w:pPr>
      <w:r w:rsidRPr="0063358A">
        <w:rPr>
          <w:rFonts w:ascii="Times New Roman" w:hAnsi="Times New Roman" w:cs="Times New Roman"/>
          <w:sz w:val="24"/>
          <w:szCs w:val="24"/>
        </w:rPr>
        <w:t>Se observa, entonces, que la Ciudad de Buenos Aires y su organismo estadístico tienen una larga trayectoria y que la normativa vigente le otorga un rol de suma importancia tanto a nivel nacional como integrante del SEN como a nivel local, ya que la información que produce resulta un instrumento fundamental en la toma de decisiones de gobierno, entre otras finalidades.</w:t>
      </w:r>
    </w:p>
    <w:p w:rsidR="0063358A" w:rsidRPr="0063358A" w:rsidRDefault="0063358A" w:rsidP="0063358A">
      <w:pPr>
        <w:spacing w:after="0" w:line="360" w:lineRule="auto"/>
        <w:ind w:firstLine="708"/>
        <w:jc w:val="both"/>
        <w:rPr>
          <w:rFonts w:ascii="Times New Roman" w:hAnsi="Times New Roman" w:cs="Times New Roman"/>
          <w:sz w:val="24"/>
          <w:szCs w:val="24"/>
          <w:lang w:val="es-MX"/>
        </w:rPr>
      </w:pPr>
      <w:r w:rsidRPr="0063358A">
        <w:rPr>
          <w:rFonts w:ascii="Times New Roman" w:hAnsi="Times New Roman" w:cs="Times New Roman"/>
          <w:sz w:val="24"/>
          <w:szCs w:val="24"/>
          <w:lang w:val="es-MX"/>
        </w:rPr>
        <w:t xml:space="preserve">Entre las estadísticas incluidas en el Anuario Estadístico de la Ciudad para el año 2020, se encuentran los siguientes cuadros y mapas: </w:t>
      </w:r>
    </w:p>
    <w:p w:rsidR="0063358A" w:rsidRPr="0063358A" w:rsidRDefault="0063358A" w:rsidP="0063358A">
      <w:pPr>
        <w:pStyle w:val="Prrafodelista"/>
        <w:numPr>
          <w:ilvl w:val="0"/>
          <w:numId w:val="2"/>
        </w:numPr>
        <w:spacing w:after="0" w:line="360" w:lineRule="auto"/>
        <w:ind w:firstLine="273"/>
        <w:jc w:val="both"/>
        <w:rPr>
          <w:rFonts w:ascii="Times New Roman" w:hAnsi="Times New Roman" w:cs="Times New Roman"/>
          <w:sz w:val="24"/>
          <w:szCs w:val="24"/>
          <w:lang w:val="es-MX"/>
        </w:rPr>
      </w:pPr>
      <w:r w:rsidRPr="0063358A">
        <w:rPr>
          <w:rFonts w:ascii="Times New Roman" w:hAnsi="Times New Roman" w:cs="Times New Roman"/>
          <w:sz w:val="24"/>
          <w:szCs w:val="24"/>
          <w:lang w:val="es-MX"/>
        </w:rPr>
        <w:t>Cuadro Nº 18.6. Precio promedio del m2 (dólares) de departamentos en venta de dos ambientes usados por comuna. Ciudad de Buenos Aires. 1er. trimestre de 2018/4to. trimestre de 2020.</w:t>
      </w:r>
    </w:p>
    <w:p w:rsidR="0063358A" w:rsidRPr="0063358A" w:rsidRDefault="0063358A" w:rsidP="0063358A">
      <w:pPr>
        <w:pStyle w:val="Prrafodelista"/>
        <w:numPr>
          <w:ilvl w:val="0"/>
          <w:numId w:val="2"/>
        </w:numPr>
        <w:spacing w:after="0" w:line="360" w:lineRule="auto"/>
        <w:ind w:firstLine="273"/>
        <w:jc w:val="both"/>
        <w:rPr>
          <w:rFonts w:ascii="Times New Roman" w:hAnsi="Times New Roman" w:cs="Times New Roman"/>
          <w:sz w:val="24"/>
          <w:szCs w:val="24"/>
          <w:lang w:val="es-MX"/>
        </w:rPr>
      </w:pPr>
      <w:r w:rsidRPr="0063358A">
        <w:rPr>
          <w:rFonts w:ascii="Times New Roman" w:hAnsi="Times New Roman" w:cs="Times New Roman"/>
          <w:sz w:val="24"/>
          <w:szCs w:val="24"/>
          <w:lang w:val="es-MX"/>
        </w:rPr>
        <w:t>Cuadro Nº 18.7. Precio promedio del m2 (dólares) de departamentos en venta de dos ambientes a estrenar por comuna. Ciudad de Buenos Aires. 1er. trimestre de 2018/4to. trimestre de 2020.</w:t>
      </w:r>
    </w:p>
    <w:p w:rsidR="0063358A" w:rsidRPr="0063358A" w:rsidRDefault="0063358A" w:rsidP="0063358A">
      <w:pPr>
        <w:pStyle w:val="Prrafodelista"/>
        <w:numPr>
          <w:ilvl w:val="0"/>
          <w:numId w:val="2"/>
        </w:numPr>
        <w:spacing w:after="0" w:line="360" w:lineRule="auto"/>
        <w:ind w:firstLine="273"/>
        <w:jc w:val="both"/>
        <w:rPr>
          <w:rFonts w:ascii="Times New Roman" w:hAnsi="Times New Roman" w:cs="Times New Roman"/>
          <w:sz w:val="24"/>
          <w:szCs w:val="24"/>
          <w:lang w:val="es-MX"/>
        </w:rPr>
      </w:pPr>
      <w:r w:rsidRPr="0063358A">
        <w:rPr>
          <w:rFonts w:ascii="Times New Roman" w:hAnsi="Times New Roman" w:cs="Times New Roman"/>
          <w:sz w:val="24"/>
          <w:szCs w:val="24"/>
          <w:lang w:val="es-MX"/>
        </w:rPr>
        <w:t>Cuadro Nº 18.8. Precio promedio del m2 (dólares) de departamentos en venta de tres ambientes usados por comuna. Ciudad de Buenos Aires. 1er. trimestre de 2018/4to. trimestre de 2020.</w:t>
      </w:r>
    </w:p>
    <w:p w:rsidR="0063358A" w:rsidRPr="0063358A" w:rsidRDefault="0063358A" w:rsidP="0063358A">
      <w:pPr>
        <w:pStyle w:val="Prrafodelista"/>
        <w:numPr>
          <w:ilvl w:val="0"/>
          <w:numId w:val="2"/>
        </w:numPr>
        <w:spacing w:after="0" w:line="360" w:lineRule="auto"/>
        <w:ind w:firstLine="273"/>
        <w:jc w:val="both"/>
        <w:rPr>
          <w:rFonts w:ascii="Times New Roman" w:hAnsi="Times New Roman" w:cs="Times New Roman"/>
          <w:sz w:val="24"/>
          <w:szCs w:val="24"/>
          <w:lang w:val="es-MX"/>
        </w:rPr>
      </w:pPr>
      <w:r w:rsidRPr="0063358A">
        <w:rPr>
          <w:rFonts w:ascii="Times New Roman" w:hAnsi="Times New Roman" w:cs="Times New Roman"/>
          <w:sz w:val="24"/>
          <w:szCs w:val="24"/>
          <w:lang w:val="es-MX"/>
        </w:rPr>
        <w:t>Cuadro Nº 18.9. Precio promedio del m2 (dólares) de departamentos en venta de tres ambientes a estrenar por comuna. Ciudad de Buenos Aires. 1er. trimestre de 2018/4to. trimestre de 2020</w:t>
      </w:r>
    </w:p>
    <w:p w:rsidR="0063358A" w:rsidRPr="0063358A" w:rsidRDefault="0063358A" w:rsidP="0063358A">
      <w:pPr>
        <w:pStyle w:val="Prrafodelista"/>
        <w:numPr>
          <w:ilvl w:val="0"/>
          <w:numId w:val="2"/>
        </w:numPr>
        <w:spacing w:after="0" w:line="360" w:lineRule="auto"/>
        <w:ind w:firstLine="273"/>
        <w:jc w:val="both"/>
        <w:rPr>
          <w:rFonts w:ascii="Times New Roman" w:hAnsi="Times New Roman" w:cs="Times New Roman"/>
          <w:sz w:val="24"/>
          <w:szCs w:val="24"/>
        </w:rPr>
      </w:pPr>
      <w:r w:rsidRPr="0063358A">
        <w:rPr>
          <w:rFonts w:ascii="Times New Roman" w:hAnsi="Times New Roman" w:cs="Times New Roman"/>
          <w:sz w:val="24"/>
          <w:szCs w:val="24"/>
          <w:lang w:val="es-MX"/>
        </w:rPr>
        <w:t xml:space="preserve">Cuadro Nº </w:t>
      </w:r>
      <w:r w:rsidRPr="0063358A">
        <w:rPr>
          <w:rFonts w:ascii="Times New Roman" w:hAnsi="Times New Roman" w:cs="Times New Roman"/>
          <w:sz w:val="24"/>
          <w:szCs w:val="24"/>
        </w:rPr>
        <w:t>18.10. Distribución porcentual de departamentos en venta por cantidad de ambientes y por tipo según comuna. Ciudad de Buenos Aires. Año 2020.</w:t>
      </w:r>
    </w:p>
    <w:p w:rsidR="0063358A" w:rsidRPr="0063358A" w:rsidRDefault="0063358A" w:rsidP="0063358A">
      <w:pPr>
        <w:pStyle w:val="Prrafodelista"/>
        <w:numPr>
          <w:ilvl w:val="0"/>
          <w:numId w:val="2"/>
        </w:numPr>
        <w:spacing w:after="0" w:line="360" w:lineRule="auto"/>
        <w:ind w:firstLine="273"/>
        <w:jc w:val="both"/>
        <w:rPr>
          <w:rFonts w:ascii="Times New Roman" w:hAnsi="Times New Roman" w:cs="Times New Roman"/>
          <w:sz w:val="24"/>
          <w:szCs w:val="24"/>
        </w:rPr>
      </w:pPr>
      <w:r w:rsidRPr="0063358A">
        <w:rPr>
          <w:rFonts w:ascii="Times New Roman" w:hAnsi="Times New Roman" w:cs="Times New Roman"/>
          <w:sz w:val="24"/>
          <w:szCs w:val="24"/>
          <w:lang w:val="es-MX"/>
        </w:rPr>
        <w:t xml:space="preserve">Cuadro Nº </w:t>
      </w:r>
      <w:r w:rsidRPr="0063358A">
        <w:rPr>
          <w:rFonts w:ascii="Times New Roman" w:hAnsi="Times New Roman" w:cs="Times New Roman"/>
          <w:sz w:val="24"/>
          <w:szCs w:val="24"/>
        </w:rPr>
        <w:t>18.11. Precio mensual promedio (pesos) de departamentos en alquiler de uno, dos y tres ambientes usados y a estrenar. Ciudad de Buenos Aires. Años 2010-2018/2020</w:t>
      </w:r>
    </w:p>
    <w:p w:rsidR="0063358A" w:rsidRPr="0063358A" w:rsidRDefault="0063358A" w:rsidP="0063358A">
      <w:pPr>
        <w:pStyle w:val="Prrafodelista"/>
        <w:numPr>
          <w:ilvl w:val="0"/>
          <w:numId w:val="2"/>
        </w:numPr>
        <w:spacing w:after="0" w:line="360" w:lineRule="auto"/>
        <w:ind w:firstLine="273"/>
        <w:jc w:val="both"/>
        <w:rPr>
          <w:rFonts w:ascii="Times New Roman" w:hAnsi="Times New Roman" w:cs="Times New Roman"/>
          <w:sz w:val="24"/>
          <w:szCs w:val="24"/>
        </w:rPr>
      </w:pPr>
      <w:r w:rsidRPr="0063358A">
        <w:rPr>
          <w:rFonts w:ascii="Times New Roman" w:hAnsi="Times New Roman" w:cs="Times New Roman"/>
          <w:sz w:val="24"/>
          <w:szCs w:val="24"/>
          <w:lang w:val="es-MX"/>
        </w:rPr>
        <w:t xml:space="preserve">Cuadro Nº </w:t>
      </w:r>
      <w:r w:rsidRPr="0063358A">
        <w:rPr>
          <w:rFonts w:ascii="Times New Roman" w:hAnsi="Times New Roman" w:cs="Times New Roman"/>
          <w:sz w:val="24"/>
          <w:szCs w:val="24"/>
        </w:rPr>
        <w:t>18.12. Precio mensual promedio (pesos) de departamentos en alquiler de un ambiente usados y a estrenar (en base a 30 m2) por comuna. Ciudad de Buenos Aires. Enero/diciembre de 2020.</w:t>
      </w:r>
    </w:p>
    <w:p w:rsidR="0063358A" w:rsidRPr="0063358A" w:rsidRDefault="0063358A" w:rsidP="0063358A">
      <w:pPr>
        <w:pStyle w:val="Prrafodelista"/>
        <w:numPr>
          <w:ilvl w:val="0"/>
          <w:numId w:val="2"/>
        </w:numPr>
        <w:spacing w:after="0" w:line="360" w:lineRule="auto"/>
        <w:ind w:firstLine="273"/>
        <w:jc w:val="both"/>
        <w:rPr>
          <w:rFonts w:ascii="Times New Roman" w:hAnsi="Times New Roman" w:cs="Times New Roman"/>
          <w:sz w:val="24"/>
          <w:szCs w:val="24"/>
        </w:rPr>
      </w:pPr>
      <w:r w:rsidRPr="0063358A">
        <w:rPr>
          <w:rFonts w:ascii="Times New Roman" w:hAnsi="Times New Roman" w:cs="Times New Roman"/>
          <w:sz w:val="24"/>
          <w:szCs w:val="24"/>
          <w:lang w:val="es-MX"/>
        </w:rPr>
        <w:t xml:space="preserve">Cuadro Nº </w:t>
      </w:r>
      <w:r w:rsidRPr="0063358A">
        <w:rPr>
          <w:rFonts w:ascii="Times New Roman" w:hAnsi="Times New Roman" w:cs="Times New Roman"/>
          <w:sz w:val="24"/>
          <w:szCs w:val="24"/>
        </w:rPr>
        <w:t>18.13 Precio mensual promedio (pesos) de departamentos en alquiler de dos ambientes usados y a estrenar (en base a 43 m2) por comuna. Ciudad de Buenos Aires. Enero/diciembre de 2020.</w:t>
      </w:r>
    </w:p>
    <w:p w:rsidR="0063358A" w:rsidRPr="0063358A" w:rsidRDefault="0063358A" w:rsidP="0063358A">
      <w:pPr>
        <w:pStyle w:val="Prrafodelista"/>
        <w:numPr>
          <w:ilvl w:val="0"/>
          <w:numId w:val="2"/>
        </w:numPr>
        <w:spacing w:after="0" w:line="360" w:lineRule="auto"/>
        <w:ind w:firstLine="273"/>
        <w:jc w:val="both"/>
        <w:rPr>
          <w:rFonts w:ascii="Times New Roman" w:hAnsi="Times New Roman" w:cs="Times New Roman"/>
          <w:sz w:val="24"/>
          <w:szCs w:val="24"/>
        </w:rPr>
      </w:pPr>
      <w:r w:rsidRPr="0063358A">
        <w:rPr>
          <w:rFonts w:ascii="Times New Roman" w:hAnsi="Times New Roman" w:cs="Times New Roman"/>
          <w:sz w:val="24"/>
          <w:szCs w:val="24"/>
          <w:lang w:val="es-MX"/>
        </w:rPr>
        <w:t xml:space="preserve">Cuadro Nº </w:t>
      </w:r>
      <w:r w:rsidRPr="0063358A">
        <w:rPr>
          <w:rFonts w:ascii="Times New Roman" w:hAnsi="Times New Roman" w:cs="Times New Roman"/>
          <w:sz w:val="24"/>
          <w:szCs w:val="24"/>
        </w:rPr>
        <w:t>18.14 Precio mensual promedio (pesos) de departamentos en alquiler de tres ambientes usados y a estrenar (en base a 70 m2) por comuna. Ciudad de Buenos Aires. Enero/diciembre de 2020.</w:t>
      </w:r>
    </w:p>
    <w:p w:rsidR="0063358A" w:rsidRPr="0063358A" w:rsidRDefault="0063358A" w:rsidP="0063358A">
      <w:pPr>
        <w:pStyle w:val="Prrafodelista"/>
        <w:numPr>
          <w:ilvl w:val="0"/>
          <w:numId w:val="2"/>
        </w:numPr>
        <w:spacing w:after="0" w:line="360" w:lineRule="auto"/>
        <w:ind w:firstLine="273"/>
        <w:jc w:val="both"/>
        <w:rPr>
          <w:rFonts w:ascii="Times New Roman" w:hAnsi="Times New Roman" w:cs="Times New Roman"/>
          <w:sz w:val="24"/>
          <w:szCs w:val="24"/>
        </w:rPr>
      </w:pPr>
      <w:r w:rsidRPr="0063358A">
        <w:rPr>
          <w:rFonts w:ascii="Times New Roman" w:hAnsi="Times New Roman" w:cs="Times New Roman"/>
          <w:sz w:val="24"/>
          <w:szCs w:val="24"/>
          <w:lang w:val="es-MX"/>
        </w:rPr>
        <w:lastRenderedPageBreak/>
        <w:t xml:space="preserve">Cuadro Nº </w:t>
      </w:r>
      <w:r w:rsidRPr="0063358A">
        <w:rPr>
          <w:rFonts w:ascii="Times New Roman" w:hAnsi="Times New Roman" w:cs="Times New Roman"/>
          <w:sz w:val="24"/>
          <w:szCs w:val="24"/>
        </w:rPr>
        <w:t>18.15 Distribución porcentual de departamentos en alquiler usados y a estrenar por cantidad de ambientes y por tipo según comuna. Ciudad de Buenos Aires. Año 2020.</w:t>
      </w:r>
    </w:p>
    <w:p w:rsidR="0063358A" w:rsidRPr="0063358A" w:rsidRDefault="0063358A" w:rsidP="0063358A">
      <w:pPr>
        <w:pStyle w:val="Prrafodelista"/>
        <w:numPr>
          <w:ilvl w:val="0"/>
          <w:numId w:val="2"/>
        </w:numPr>
        <w:spacing w:after="0" w:line="360" w:lineRule="auto"/>
        <w:ind w:firstLine="273"/>
        <w:jc w:val="both"/>
        <w:rPr>
          <w:rFonts w:ascii="Times New Roman" w:hAnsi="Times New Roman" w:cs="Times New Roman"/>
          <w:sz w:val="24"/>
          <w:szCs w:val="24"/>
        </w:rPr>
      </w:pPr>
      <w:r w:rsidRPr="0063358A">
        <w:rPr>
          <w:rFonts w:ascii="Times New Roman" w:hAnsi="Times New Roman" w:cs="Times New Roman"/>
          <w:sz w:val="24"/>
          <w:szCs w:val="24"/>
        </w:rPr>
        <w:t>Mapa Nº 18.M.3. Departamentos en venta por barrio. Ciudad de Buenos Aires. Año 2020.</w:t>
      </w:r>
    </w:p>
    <w:p w:rsidR="0063358A" w:rsidRPr="0063358A" w:rsidRDefault="0063358A" w:rsidP="0063358A">
      <w:pPr>
        <w:pStyle w:val="Prrafodelista"/>
        <w:numPr>
          <w:ilvl w:val="0"/>
          <w:numId w:val="2"/>
        </w:numPr>
        <w:spacing w:after="0" w:line="360" w:lineRule="auto"/>
        <w:ind w:firstLine="273"/>
        <w:jc w:val="both"/>
        <w:rPr>
          <w:rFonts w:ascii="Times New Roman" w:hAnsi="Times New Roman" w:cs="Times New Roman"/>
          <w:sz w:val="24"/>
          <w:szCs w:val="24"/>
        </w:rPr>
      </w:pPr>
      <w:r w:rsidRPr="0063358A">
        <w:rPr>
          <w:rFonts w:ascii="Times New Roman" w:hAnsi="Times New Roman" w:cs="Times New Roman"/>
          <w:sz w:val="24"/>
          <w:szCs w:val="24"/>
        </w:rPr>
        <w:t xml:space="preserve">Mapa Nº 18.M.4. Departamentos en alquiler por barrio. Ciudad de Buenos Aires. Año 2020. </w:t>
      </w:r>
    </w:p>
    <w:p w:rsidR="0063358A" w:rsidRDefault="0063358A" w:rsidP="0063358A">
      <w:pPr>
        <w:pStyle w:val="Prrafodelista"/>
        <w:spacing w:after="0" w:line="360" w:lineRule="auto"/>
        <w:ind w:left="0"/>
        <w:jc w:val="both"/>
        <w:rPr>
          <w:rFonts w:ascii="Times New Roman" w:hAnsi="Times New Roman" w:cs="Times New Roman"/>
          <w:sz w:val="24"/>
          <w:szCs w:val="24"/>
        </w:rPr>
      </w:pPr>
    </w:p>
    <w:p w:rsidR="0063358A" w:rsidRPr="0063358A" w:rsidRDefault="0063358A" w:rsidP="0063358A">
      <w:pPr>
        <w:pStyle w:val="Prrafodelista"/>
        <w:spacing w:after="0" w:line="360" w:lineRule="auto"/>
        <w:ind w:left="0" w:firstLine="708"/>
        <w:jc w:val="both"/>
        <w:rPr>
          <w:rFonts w:ascii="Times New Roman" w:hAnsi="Times New Roman" w:cs="Times New Roman"/>
          <w:sz w:val="24"/>
          <w:szCs w:val="24"/>
        </w:rPr>
      </w:pPr>
      <w:r w:rsidRPr="0063358A">
        <w:rPr>
          <w:rFonts w:ascii="Times New Roman" w:hAnsi="Times New Roman" w:cs="Times New Roman"/>
          <w:sz w:val="24"/>
          <w:szCs w:val="24"/>
        </w:rPr>
        <w:t>Para todas estas inferencias estadísticas, que resultan de especial interés como punto de partida para el conocimiento de la realidad, el diseño de políticas públicas y la evaluación de resultados de la gestión en lo atinente al mercado de vivienda (derecho consagrado por el artículo 31º de la Constitución de la Ciudad), se cita como fuente el portal Argenprop, sitio a través del cual toda persona puede encontrar diversos servicios y contenidos relacionados con la búsqueda de inmuebles.</w:t>
      </w:r>
      <w:r w:rsidRPr="0063358A">
        <w:rPr>
          <w:rStyle w:val="Refdenotaalpie"/>
          <w:rFonts w:ascii="Times New Roman" w:hAnsi="Times New Roman" w:cs="Times New Roman"/>
          <w:sz w:val="24"/>
          <w:szCs w:val="24"/>
        </w:rPr>
        <w:footnoteReference w:id="1"/>
      </w:r>
    </w:p>
    <w:p w:rsidR="0063358A" w:rsidRPr="0063358A" w:rsidRDefault="0063358A" w:rsidP="0063358A">
      <w:pPr>
        <w:pStyle w:val="Prrafodelista"/>
        <w:spacing w:after="0" w:line="360" w:lineRule="auto"/>
        <w:ind w:left="0" w:firstLine="708"/>
        <w:jc w:val="both"/>
        <w:rPr>
          <w:rFonts w:ascii="Times New Roman" w:hAnsi="Times New Roman" w:cs="Times New Roman"/>
          <w:sz w:val="24"/>
          <w:szCs w:val="24"/>
        </w:rPr>
      </w:pPr>
      <w:r w:rsidRPr="0063358A">
        <w:rPr>
          <w:rFonts w:ascii="Times New Roman" w:hAnsi="Times New Roman" w:cs="Times New Roman"/>
          <w:sz w:val="24"/>
          <w:szCs w:val="24"/>
        </w:rPr>
        <w:t>Entre sus términos y condiciones del sitio</w:t>
      </w:r>
      <w:bookmarkStart w:id="0" w:name="_GoBack"/>
      <w:bookmarkEnd w:id="0"/>
      <w:r w:rsidRPr="0063358A">
        <w:rPr>
          <w:rFonts w:ascii="Times New Roman" w:hAnsi="Times New Roman" w:cs="Times New Roman"/>
          <w:sz w:val="24"/>
          <w:szCs w:val="24"/>
        </w:rPr>
        <w:t>, encontramos los siguientes párrafos, que resultan preocupantes desde el punto de vista de la fiabilidad de las estadísticas confeccionadas a partir de los datos volcados en este sitio:</w:t>
      </w:r>
    </w:p>
    <w:p w:rsidR="0063358A" w:rsidRPr="0063358A" w:rsidRDefault="0063358A" w:rsidP="0063358A">
      <w:pPr>
        <w:spacing w:after="0" w:line="360" w:lineRule="auto"/>
        <w:rPr>
          <w:rFonts w:ascii="Times New Roman" w:hAnsi="Times New Roman" w:cs="Times New Roman"/>
          <w:sz w:val="24"/>
          <w:szCs w:val="24"/>
        </w:rPr>
      </w:pPr>
      <w:r w:rsidRPr="0063358A">
        <w:rPr>
          <w:rFonts w:ascii="Times New Roman" w:hAnsi="Times New Roman" w:cs="Times New Roman"/>
          <w:i/>
          <w:sz w:val="24"/>
          <w:szCs w:val="24"/>
        </w:rPr>
        <w:t xml:space="preserve">A título enunciativo, y en ningún caso limitativo o excluyente, el Usuario se compromete a: (…) 5. No ingresar o difundir cualquier información y contenidos falsos, ambiguos, extemporáneos o inexactos de forma que induzca a error a los receptores de la información. (…) 13. No revelar o compartir su contraseña con terceras personas o usar su contraseña para cualquier propósito no autorizado”. </w:t>
      </w:r>
      <w:r w:rsidRPr="0063358A">
        <w:rPr>
          <w:rFonts w:ascii="Times New Roman" w:hAnsi="Times New Roman" w:cs="Times New Roman"/>
          <w:sz w:val="24"/>
          <w:szCs w:val="24"/>
        </w:rPr>
        <w:t>Es decir que la responsabilidad de la veracidad y exactitud de los datos ingresados reside en las y los usuarios.</w:t>
      </w:r>
    </w:p>
    <w:p w:rsidR="0063358A" w:rsidRPr="0063358A" w:rsidRDefault="0063358A" w:rsidP="0063358A">
      <w:pPr>
        <w:spacing w:after="0" w:line="360" w:lineRule="auto"/>
        <w:ind w:firstLine="708"/>
        <w:jc w:val="both"/>
        <w:rPr>
          <w:rFonts w:ascii="Times New Roman" w:hAnsi="Times New Roman" w:cs="Times New Roman"/>
          <w:i/>
          <w:sz w:val="24"/>
          <w:szCs w:val="24"/>
        </w:rPr>
      </w:pPr>
      <w:r w:rsidRPr="0063358A">
        <w:rPr>
          <w:rFonts w:ascii="Times New Roman" w:hAnsi="Times New Roman" w:cs="Times New Roman"/>
          <w:sz w:val="24"/>
          <w:szCs w:val="24"/>
        </w:rPr>
        <w:t xml:space="preserve">Por otra parte, se aclara que </w:t>
      </w:r>
      <w:r w:rsidRPr="0063358A">
        <w:rPr>
          <w:rFonts w:ascii="Times New Roman" w:hAnsi="Times New Roman" w:cs="Times New Roman"/>
          <w:i/>
          <w:sz w:val="24"/>
          <w:szCs w:val="24"/>
        </w:rPr>
        <w:t>“toda la información acerca de los inmuebles publicados y/u ofrecidos por el Sitio es proporcionada por Inmobiliarias adheridas, siendo responsabilidad exclusiva de las mismas…”</w:t>
      </w:r>
    </w:p>
    <w:p w:rsidR="0063358A" w:rsidRPr="0063358A" w:rsidRDefault="0063358A" w:rsidP="0063358A">
      <w:pPr>
        <w:spacing w:after="0" w:line="360" w:lineRule="auto"/>
        <w:ind w:firstLine="708"/>
        <w:jc w:val="both"/>
        <w:rPr>
          <w:rFonts w:ascii="Times New Roman" w:hAnsi="Times New Roman" w:cs="Times New Roman"/>
          <w:i/>
          <w:sz w:val="24"/>
          <w:szCs w:val="24"/>
        </w:rPr>
      </w:pPr>
      <w:r w:rsidRPr="0063358A">
        <w:rPr>
          <w:rFonts w:ascii="Times New Roman" w:hAnsi="Times New Roman" w:cs="Times New Roman"/>
          <w:sz w:val="24"/>
          <w:szCs w:val="24"/>
        </w:rPr>
        <w:t xml:space="preserve">También se dice que </w:t>
      </w:r>
      <w:r w:rsidRPr="0063358A">
        <w:rPr>
          <w:rFonts w:ascii="Times New Roman" w:hAnsi="Times New Roman" w:cs="Times New Roman"/>
          <w:i/>
          <w:sz w:val="24"/>
          <w:szCs w:val="24"/>
        </w:rPr>
        <w:t>“Argenprop no es responsable por la publicación, veracidad y exactitud de la información que en el Sitio se provea”</w:t>
      </w:r>
      <w:r w:rsidRPr="0063358A">
        <w:rPr>
          <w:rFonts w:ascii="Times New Roman" w:hAnsi="Times New Roman" w:cs="Times New Roman"/>
          <w:sz w:val="24"/>
          <w:szCs w:val="24"/>
        </w:rPr>
        <w:t xml:space="preserve"> y que </w:t>
      </w:r>
      <w:r w:rsidRPr="0063358A">
        <w:rPr>
          <w:rFonts w:ascii="Times New Roman" w:hAnsi="Times New Roman" w:cs="Times New Roman"/>
          <w:i/>
          <w:sz w:val="24"/>
          <w:szCs w:val="24"/>
        </w:rPr>
        <w:t>“el Sitio no revisa el contenido de los Avisos, proveyendo única y exclusivamente un espacio para su publicación”.</w:t>
      </w:r>
    </w:p>
    <w:p w:rsidR="0063358A" w:rsidRPr="0063358A" w:rsidRDefault="0063358A" w:rsidP="0063358A">
      <w:pPr>
        <w:spacing w:after="0" w:line="360" w:lineRule="auto"/>
        <w:ind w:firstLine="708"/>
        <w:jc w:val="both"/>
        <w:rPr>
          <w:rFonts w:ascii="Times New Roman" w:hAnsi="Times New Roman" w:cs="Times New Roman"/>
          <w:sz w:val="24"/>
          <w:szCs w:val="24"/>
        </w:rPr>
      </w:pPr>
      <w:r w:rsidRPr="0063358A">
        <w:rPr>
          <w:rFonts w:ascii="Times New Roman" w:hAnsi="Times New Roman" w:cs="Times New Roman"/>
          <w:sz w:val="24"/>
          <w:szCs w:val="24"/>
        </w:rPr>
        <w:t xml:space="preserve">Se advierte que </w:t>
      </w:r>
      <w:r w:rsidRPr="0063358A">
        <w:rPr>
          <w:rFonts w:ascii="Times New Roman" w:hAnsi="Times New Roman" w:cs="Times New Roman"/>
          <w:i/>
          <w:sz w:val="24"/>
          <w:szCs w:val="24"/>
        </w:rPr>
        <w:t>“Argenprop no será responsable de la calidad, exactitud, fiabilidad, corrección y utilidad de los datos, programas e información de cualquier tipo que se transmitan por sus redes</w:t>
      </w:r>
      <w:r w:rsidRPr="0063358A">
        <w:rPr>
          <w:rFonts w:ascii="Times New Roman" w:hAnsi="Times New Roman" w:cs="Times New Roman"/>
          <w:sz w:val="24"/>
          <w:szCs w:val="24"/>
        </w:rPr>
        <w:t>” y se reconoce expresamente que el sitio puede contener errores.</w:t>
      </w:r>
    </w:p>
    <w:p w:rsidR="0063358A" w:rsidRPr="0063358A" w:rsidRDefault="0063358A" w:rsidP="0063358A">
      <w:pPr>
        <w:spacing w:after="0" w:line="360" w:lineRule="auto"/>
        <w:ind w:firstLine="708"/>
        <w:jc w:val="both"/>
        <w:rPr>
          <w:rFonts w:ascii="Times New Roman" w:hAnsi="Times New Roman" w:cs="Times New Roman"/>
          <w:sz w:val="24"/>
          <w:szCs w:val="24"/>
        </w:rPr>
      </w:pPr>
      <w:r w:rsidRPr="0063358A">
        <w:rPr>
          <w:rFonts w:ascii="Times New Roman" w:hAnsi="Times New Roman" w:cs="Times New Roman"/>
          <w:sz w:val="24"/>
          <w:szCs w:val="24"/>
        </w:rPr>
        <w:lastRenderedPageBreak/>
        <w:t>El proceso estadístico consta de varias etapas en las que debe seguirse una estricta metodología para obtener resultados confiables. La forma de recolección de los datos, el tipo de muestreo y el tamaño de la muestra son partes fundamentales de este proceso. Las técnicas de muestreo son un conjunto de técnicas estadísticas que estudian la forma de seleccionar una muestra representativa de la población, asumiendo un error mesurable y determinado. Los errores sistemáticos o sesgos son los errores que se cometen en el procedimiento del estudio.</w:t>
      </w:r>
    </w:p>
    <w:p w:rsidR="0063358A" w:rsidRPr="0063358A" w:rsidRDefault="0063358A" w:rsidP="0063358A">
      <w:pPr>
        <w:spacing w:after="0" w:line="360" w:lineRule="auto"/>
        <w:ind w:firstLine="708"/>
        <w:jc w:val="both"/>
        <w:rPr>
          <w:rFonts w:ascii="Times New Roman" w:hAnsi="Times New Roman" w:cs="Times New Roman"/>
          <w:sz w:val="24"/>
          <w:szCs w:val="24"/>
        </w:rPr>
      </w:pPr>
      <w:r w:rsidRPr="0063358A">
        <w:rPr>
          <w:rFonts w:ascii="Times New Roman" w:hAnsi="Times New Roman" w:cs="Times New Roman"/>
          <w:sz w:val="24"/>
          <w:szCs w:val="24"/>
        </w:rPr>
        <w:t xml:space="preserve">La gravedad de utilizar una muestra que está mal conformada es que la misma tendrá un gran desvío estándar. Si consideramos usar dicha muestra como fuente  de estadísticas oficiales, las mismas tendrían también un gran desvío.  Una muestra de estas características generaría estadísticas, media, mediana, promedio, etc, que no serían representativas de los parámetros poblacionales. Es decir que con una muestra errada podemos obtener estadísticas que conduzcan a conclusiones erradas cuando se intente entender la población a partir de las mismas. </w:t>
      </w:r>
    </w:p>
    <w:p w:rsidR="0063358A" w:rsidRPr="0063358A" w:rsidRDefault="0063358A" w:rsidP="0063358A">
      <w:pPr>
        <w:spacing w:after="0" w:line="360" w:lineRule="auto"/>
        <w:ind w:firstLine="708"/>
        <w:jc w:val="both"/>
        <w:rPr>
          <w:rFonts w:ascii="Times New Roman" w:hAnsi="Times New Roman" w:cs="Times New Roman"/>
          <w:sz w:val="24"/>
          <w:szCs w:val="24"/>
        </w:rPr>
      </w:pPr>
      <w:r w:rsidRPr="0063358A">
        <w:rPr>
          <w:rFonts w:ascii="Times New Roman" w:hAnsi="Times New Roman" w:cs="Times New Roman"/>
          <w:sz w:val="24"/>
          <w:szCs w:val="24"/>
        </w:rPr>
        <w:t>La naturaleza misma del sitio elegido como fuente de datos primarios, que puede muy bien cumplir con el objetivo de brindar un servicio a usuarios e inmobiliarias en la búsqueda de propiedades en venta y/o alquiler, plantea dudas sobre la idoneidad del mismo a los fines estadísticos. Estas dudas se acrecientan al leer los términos y condiciones del servicio y encontrar que la plataforma no se responsabiliza de la veracidad de los datos allí volcados.</w:t>
      </w:r>
    </w:p>
    <w:p w:rsidR="0063358A" w:rsidRPr="0063358A" w:rsidRDefault="0063358A" w:rsidP="0063358A">
      <w:pPr>
        <w:spacing w:after="0" w:line="360" w:lineRule="auto"/>
        <w:ind w:firstLine="708"/>
        <w:jc w:val="both"/>
        <w:rPr>
          <w:rFonts w:ascii="Times New Roman" w:hAnsi="Times New Roman" w:cs="Times New Roman"/>
          <w:sz w:val="24"/>
          <w:szCs w:val="24"/>
        </w:rPr>
      </w:pPr>
      <w:r w:rsidRPr="0063358A">
        <w:rPr>
          <w:rFonts w:ascii="Times New Roman" w:hAnsi="Times New Roman" w:cs="Times New Roman"/>
          <w:sz w:val="24"/>
          <w:szCs w:val="24"/>
        </w:rPr>
        <w:t>El presente pedido de informes busca obtener información no sólo acerca del sitio y su idoneidad como fuente estadística, sino también de los procesos estadísticos llevados a cabo sobre esos datos.</w:t>
      </w:r>
    </w:p>
    <w:p w:rsidR="0063358A" w:rsidRPr="0063358A" w:rsidRDefault="0063358A" w:rsidP="0063358A">
      <w:pPr>
        <w:spacing w:after="0" w:line="360" w:lineRule="auto"/>
        <w:ind w:firstLine="708"/>
        <w:jc w:val="both"/>
        <w:rPr>
          <w:rFonts w:ascii="Times New Roman" w:hAnsi="Times New Roman" w:cs="Times New Roman"/>
          <w:sz w:val="24"/>
          <w:szCs w:val="24"/>
        </w:rPr>
      </w:pPr>
      <w:r w:rsidRPr="0063358A">
        <w:rPr>
          <w:rFonts w:ascii="Times New Roman" w:hAnsi="Times New Roman" w:cs="Times New Roman"/>
          <w:sz w:val="24"/>
          <w:szCs w:val="24"/>
        </w:rPr>
        <w:t xml:space="preserve">Por todo lo expuesto, solicito la aprobación de este proyecto de resolución. </w:t>
      </w:r>
    </w:p>
    <w:p w:rsidR="00AF6352" w:rsidRPr="0063358A" w:rsidRDefault="00AF6352" w:rsidP="0063358A">
      <w:pPr>
        <w:spacing w:after="0" w:line="360" w:lineRule="auto"/>
        <w:rPr>
          <w:rFonts w:ascii="Times New Roman" w:hAnsi="Times New Roman" w:cs="Times New Roman"/>
          <w:sz w:val="24"/>
          <w:szCs w:val="24"/>
        </w:rPr>
      </w:pPr>
    </w:p>
    <w:sectPr w:rsidR="00AF6352" w:rsidRPr="0063358A" w:rsidSect="005A3AA1">
      <w:headerReference w:type="default" r:id="rId8"/>
      <w:footerReference w:type="default" r:id="rId9"/>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74F8C" w:rsidRDefault="00A74F8C">
      <w:r>
        <w:separator/>
      </w:r>
    </w:p>
  </w:endnote>
  <w:endnote w:type="continuationSeparator" w:id="0">
    <w:p w:rsidR="00A74F8C" w:rsidRDefault="00A74F8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63358A" w:rsidRDefault="00601A75">
    <w:pPr>
      <w:pStyle w:val="Piedepgina"/>
      <w:rPr>
        <w:color w:val="333333"/>
        <w:sz w:val="20"/>
      </w:rPr>
    </w:pPr>
    <w:bookmarkStart w:id="1" w:name="Proyecto"/>
    <w:bookmarkEnd w:id="1"/>
  </w:p>
  <w:p w:rsidR="00601A75" w:rsidRPr="0063358A" w:rsidRDefault="00601A75">
    <w:pPr>
      <w:pStyle w:val="Piedepgina"/>
      <w:rPr>
        <w:color w:val="333333"/>
        <w:sz w:val="20"/>
      </w:rPr>
    </w:pPr>
    <w:r w:rsidRPr="0063358A">
      <w:rPr>
        <w:color w:val="333333"/>
        <w:sz w:val="20"/>
      </w:rPr>
      <w:t xml:space="preserve">Último cambio: </w:t>
    </w:r>
    <w:fldSimple w:instr=" SAVEDATE  \* MERGEFORMAT ">
      <w:r w:rsidR="0063358A">
        <w:rPr>
          <w:noProof/>
          <w:color w:val="333333"/>
          <w:sz w:val="20"/>
        </w:rPr>
        <w:t>00/00/0000 0:00:00</w:t>
      </w:r>
    </w:fldSimple>
    <w:r w:rsidRPr="0063358A">
      <w:rPr>
        <w:color w:val="333333"/>
        <w:sz w:val="20"/>
      </w:rPr>
      <w:t xml:space="preserve">  -  Cantidad de caracteres: </w:t>
    </w:r>
    <w:fldSimple w:instr=" NUMCHARS  \* MERGEFORMAT ">
      <w:r w:rsidR="0063358A">
        <w:rPr>
          <w:noProof/>
          <w:color w:val="333333"/>
          <w:sz w:val="20"/>
        </w:rPr>
        <w:t>9492</w:t>
      </w:r>
    </w:fldSimple>
    <w:r w:rsidRPr="0063358A">
      <w:rPr>
        <w:color w:val="333333"/>
        <w:sz w:val="20"/>
      </w:rPr>
      <w:t xml:space="preserve"> - Cantidad de palabras: </w:t>
    </w:r>
    <w:fldSimple w:instr=" NUMWORDS  \* MERGEFORMAT ">
      <w:r w:rsidR="0063358A">
        <w:rPr>
          <w:noProof/>
          <w:color w:val="333333"/>
          <w:sz w:val="20"/>
        </w:rPr>
        <w:t>1757</w:t>
      </w:r>
    </w:fldSimple>
  </w:p>
  <w:p w:rsidR="00601A75" w:rsidRPr="0063358A" w:rsidRDefault="00601A75" w:rsidP="00B05649">
    <w:pPr>
      <w:pStyle w:val="Piedepgina"/>
      <w:tabs>
        <w:tab w:val="left" w:pos="3565"/>
      </w:tabs>
      <w:rPr>
        <w:rStyle w:val="Nmerodepgina"/>
        <w:color w:val="333333"/>
        <w:sz w:val="24"/>
      </w:rPr>
    </w:pPr>
    <w:r w:rsidRPr="0063358A">
      <w:rPr>
        <w:color w:val="333333"/>
        <w:sz w:val="20"/>
      </w:rPr>
      <w:tab/>
      <w:t>Pág.</w:t>
    </w:r>
    <w:r w:rsidRPr="0063358A">
      <w:rPr>
        <w:color w:val="333333"/>
        <w:sz w:val="24"/>
      </w:rPr>
      <w:t xml:space="preserve"> </w:t>
    </w:r>
    <w:r w:rsidRPr="0063358A">
      <w:rPr>
        <w:rStyle w:val="Nmerodepgina"/>
        <w:color w:val="333333"/>
        <w:sz w:val="24"/>
      </w:rPr>
      <w:fldChar w:fldCharType="begin"/>
    </w:r>
    <w:r w:rsidRPr="0063358A">
      <w:rPr>
        <w:rStyle w:val="Nmerodepgina"/>
        <w:color w:val="333333"/>
        <w:sz w:val="24"/>
      </w:rPr>
      <w:instrText xml:space="preserve"> PAGE </w:instrText>
    </w:r>
    <w:r w:rsidRPr="0063358A">
      <w:rPr>
        <w:rStyle w:val="Nmerodepgina"/>
        <w:color w:val="333333"/>
        <w:sz w:val="24"/>
      </w:rPr>
      <w:fldChar w:fldCharType="separate"/>
    </w:r>
    <w:r w:rsidR="0063358A">
      <w:rPr>
        <w:rStyle w:val="Nmerodepgina"/>
        <w:noProof/>
        <w:color w:val="333333"/>
        <w:sz w:val="24"/>
      </w:rPr>
      <w:t>2</w:t>
    </w:r>
    <w:r w:rsidRPr="0063358A">
      <w:rPr>
        <w:rStyle w:val="Nmerodepgina"/>
        <w:color w:val="333333"/>
        <w:sz w:val="24"/>
      </w:rPr>
      <w:fldChar w:fldCharType="end"/>
    </w:r>
    <w:r w:rsidRPr="0063358A">
      <w:rPr>
        <w:rStyle w:val="Nmerodepgina"/>
        <w:color w:val="333333"/>
        <w:sz w:val="24"/>
      </w:rPr>
      <w:t>/</w:t>
    </w:r>
    <w:fldSimple w:instr=" NUMPAGES  \* MERGEFORMAT ">
      <w:r w:rsidR="0063358A" w:rsidRPr="0063358A">
        <w:rPr>
          <w:rStyle w:val="Nmerodepgina"/>
          <w:noProof/>
          <w:color w:val="333333"/>
        </w:rPr>
        <w:t>5</w:t>
      </w:r>
    </w:fldSimple>
    <w:r w:rsidRPr="0063358A">
      <w:rPr>
        <w:rStyle w:val="Nmerodepgina"/>
        <w:color w:val="333333"/>
        <w:sz w:val="24"/>
      </w:rPr>
      <w:t xml:space="preserve"> </w:t>
    </w:r>
  </w:p>
  <w:p w:rsidR="00601A75" w:rsidRPr="0063358A"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74F8C" w:rsidRDefault="00A74F8C">
      <w:r>
        <w:separator/>
      </w:r>
    </w:p>
  </w:footnote>
  <w:footnote w:type="continuationSeparator" w:id="0">
    <w:p w:rsidR="00A74F8C" w:rsidRDefault="00A74F8C">
      <w:r>
        <w:continuationSeparator/>
      </w:r>
    </w:p>
  </w:footnote>
  <w:footnote w:id="1">
    <w:p w:rsidR="0063358A" w:rsidRDefault="0063358A" w:rsidP="0063358A">
      <w:pPr>
        <w:pStyle w:val="Textonotapie"/>
      </w:pPr>
      <w:r>
        <w:rPr>
          <w:rStyle w:val="Refdenotaalpie"/>
        </w:rPr>
        <w:footnoteRef/>
      </w:r>
      <w:r>
        <w:t xml:space="preserve"> Ver </w:t>
      </w:r>
      <w:r w:rsidRPr="00233225">
        <w:t>https://www.argenprop.com/TerminosCondiciones</w:t>
      </w:r>
      <w: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63358A"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62746C2"/>
    <w:multiLevelType w:val="hybridMultilevel"/>
    <w:tmpl w:val="6568BC6C"/>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4EFD0BA3"/>
    <w:multiLevelType w:val="hybridMultilevel"/>
    <w:tmpl w:val="224896EE"/>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3074"/>
  </w:hdrShapeDefaults>
  <w:footnotePr>
    <w:footnote w:id="-1"/>
    <w:footnote w:id="0"/>
  </w:footnotePr>
  <w:endnotePr>
    <w:endnote w:id="-1"/>
    <w:endnote w:id="0"/>
  </w:endnotePr>
  <w:compat/>
  <w:rsids>
    <w:rsidRoot w:val="00A74F8C"/>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358A"/>
    <w:rsid w:val="00636BE0"/>
    <w:rsid w:val="0064363E"/>
    <w:rsid w:val="0065711B"/>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4F8C"/>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358A"/>
    <w:pPr>
      <w:spacing w:after="200" w:line="276" w:lineRule="auto"/>
    </w:pPr>
    <w:rPr>
      <w:rFonts w:asciiTheme="minorHAnsi" w:eastAsiaTheme="minorHAnsi" w:hAnsiTheme="minorHAnsi" w:cstheme="minorBidi"/>
      <w:sz w:val="22"/>
      <w:szCs w:val="22"/>
      <w:lang w:val="es-ES" w:eastAsia="en-US"/>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customStyle="1" w:styleId="redaccin">
    <w:name w:val="redacción"/>
    <w:basedOn w:val="Normal"/>
    <w:next w:val="Normal"/>
    <w:pPr>
      <w:ind w:left="3686"/>
      <w:jc w:val="both"/>
    </w:pPr>
  </w:style>
  <w:style w:type="paragraph" w:styleId="Encabezado">
    <w:name w:val="header"/>
    <w:basedOn w:val="Normal"/>
    <w:link w:val="EncabezadoCar"/>
    <w:uiPriority w:val="99"/>
    <w:pPr>
      <w:tabs>
        <w:tab w:val="center" w:pos="4419"/>
        <w:tab w:val="right" w:pos="8838"/>
      </w:tabs>
    </w:pPr>
  </w:style>
  <w:style w:type="paragraph" w:styleId="Piedepgina">
    <w:name w:val="footer"/>
    <w:basedOn w:val="Normal"/>
    <w:pPr>
      <w:tabs>
        <w:tab w:val="center" w:pos="4419"/>
        <w:tab w:val="right" w:pos="8838"/>
      </w:tabs>
    </w:pPr>
  </w:style>
  <w:style w:type="character" w:styleId="Nmerodepgina">
    <w:name w:val="page number"/>
    <w:basedOn w:val="Fuentedeprrafopredeter"/>
  </w:style>
  <w:style w:type="character" w:customStyle="1" w:styleId="EncabezadoCar">
    <w:name w:val="Encabezado Car"/>
    <w:basedOn w:val="Fuentedeprrafopredeter"/>
    <w:link w:val="Encabezado"/>
    <w:uiPriority w:val="99"/>
    <w:rsid w:val="0033168A"/>
    <w:rPr>
      <w:sz w:val="24"/>
      <w:lang w:val="es-ES_tradnl"/>
    </w:rPr>
  </w:style>
  <w:style w:type="paragraph" w:styleId="Prrafodelista">
    <w:name w:val="List Paragraph"/>
    <w:basedOn w:val="Normal"/>
    <w:uiPriority w:val="34"/>
    <w:qFormat/>
    <w:rsid w:val="0063358A"/>
    <w:pPr>
      <w:ind w:left="720"/>
      <w:contextualSpacing/>
    </w:pPr>
  </w:style>
  <w:style w:type="paragraph" w:styleId="Textonotapie">
    <w:name w:val="footnote text"/>
    <w:basedOn w:val="Normal"/>
    <w:link w:val="TextonotapieCar"/>
    <w:uiPriority w:val="99"/>
    <w:semiHidden/>
    <w:unhideWhenUsed/>
    <w:rsid w:val="0063358A"/>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63358A"/>
    <w:rPr>
      <w:rFonts w:asciiTheme="minorHAnsi" w:eastAsiaTheme="minorHAnsi" w:hAnsiTheme="minorHAnsi" w:cstheme="minorBidi"/>
      <w:lang w:val="es-ES" w:eastAsia="en-US"/>
    </w:rPr>
  </w:style>
  <w:style w:type="character" w:styleId="Refdenotaalpie">
    <w:name w:val="footnote reference"/>
    <w:basedOn w:val="Fuentedeprrafopredeter"/>
    <w:uiPriority w:val="99"/>
    <w:semiHidden/>
    <w:unhideWhenUsed/>
    <w:rsid w:val="0063358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isamuelle\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AB4A0E6-15EF-49D6-867C-EA77FA5B23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8</TotalTime>
  <Pages>5</Pages>
  <Words>1752</Words>
  <Characters>9462</Characters>
  <Application>Microsoft Office Word</Application>
  <DocSecurity>0</DocSecurity>
  <Lines>168</Lines>
  <Paragraphs>48</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11166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nisamuelle</dc:creator>
  <cp:lastModifiedBy>nisamuelle</cp:lastModifiedBy>
  <cp:revision>1</cp:revision>
  <cp:lastPrinted>1601-01-01T00:00:00Z</cp:lastPrinted>
  <dcterms:created xsi:type="dcterms:W3CDTF">2022-04-04T14:09:00Z</dcterms:created>
  <dcterms:modified xsi:type="dcterms:W3CDTF">2022-04-04T14:17:00Z</dcterms:modified>
</cp:coreProperties>
</file>