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F86CC"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jc w:val="center"/>
        <w:outlineLvl w:val="0"/>
      </w:pPr>
      <w:r>
        <w:rPr>
          <w:b/>
          <w:bCs/>
        </w:rPr>
        <w:t>PROYECTO DE DECLARACIÓN</w:t>
      </w:r>
    </w:p>
    <w:p w14:paraId="4CD3002C"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p>
    <w:p w14:paraId="55BA7D70"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p>
    <w:p w14:paraId="6E6B0947" w14:textId="3B8275CA"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sz w:val="26"/>
          <w:szCs w:val="26"/>
        </w:rPr>
      </w:pPr>
      <w:r>
        <w:rPr>
          <w:sz w:val="26"/>
          <w:szCs w:val="26"/>
        </w:rPr>
        <w:t>La Legislatura de la Ciudad Autónoma de Buenos Aires conmemora el "Día Mundial contra la Trata", que se celebra el 30 de Julio de cada año.</w:t>
      </w:r>
    </w:p>
    <w:p w14:paraId="1B4FCF99"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p>
    <w:p w14:paraId="5FDBDC26"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r>
        <w:t xml:space="preserve"> </w:t>
      </w:r>
    </w:p>
    <w:p w14:paraId="10998728"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jc w:val="left"/>
        <w:outlineLvl w:val="0"/>
        <w:rPr>
          <w:rFonts w:cs="Times New Roman"/>
          <w:color w:val="auto"/>
          <w:sz w:val="20"/>
          <w:szCs w:val="20"/>
        </w:rPr>
      </w:pPr>
      <w:r>
        <w:rPr>
          <w:rFonts w:ascii="Arial Unicode MS" w:hAnsi="Arial Unicode MS"/>
        </w:rPr>
        <w:br w:type="page"/>
      </w:r>
    </w:p>
    <w:p w14:paraId="6CE2CBD7"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jc w:val="center"/>
        <w:outlineLvl w:val="0"/>
      </w:pPr>
      <w:r>
        <w:rPr>
          <w:b/>
          <w:bCs/>
        </w:rPr>
        <w:lastRenderedPageBreak/>
        <w:t>FUNDAMENTOS</w:t>
      </w:r>
    </w:p>
    <w:p w14:paraId="53B2EDCA"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p>
    <w:p w14:paraId="125953CC"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pPr>
    </w:p>
    <w:p w14:paraId="07F084CA"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sz w:val="26"/>
          <w:szCs w:val="26"/>
        </w:rPr>
      </w:pPr>
      <w:r>
        <w:rPr>
          <w:sz w:val="26"/>
          <w:szCs w:val="26"/>
        </w:rPr>
        <w:t xml:space="preserve">Señor </w:t>
      </w:r>
      <w:proofErr w:type="gramStart"/>
      <w:r>
        <w:rPr>
          <w:sz w:val="26"/>
          <w:szCs w:val="26"/>
        </w:rPr>
        <w:t>Presidente</w:t>
      </w:r>
      <w:proofErr w:type="gramEnd"/>
      <w:r>
        <w:rPr>
          <w:sz w:val="26"/>
          <w:szCs w:val="26"/>
        </w:rPr>
        <w:t xml:space="preserve">: </w:t>
      </w:r>
    </w:p>
    <w:p w14:paraId="3122FE65"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sz w:val="26"/>
          <w:szCs w:val="26"/>
        </w:rPr>
      </w:pPr>
    </w:p>
    <w:p w14:paraId="26862755"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708"/>
        <w:outlineLvl w:val="0"/>
        <w:rPr>
          <w:sz w:val="26"/>
          <w:szCs w:val="26"/>
        </w:rPr>
      </w:pPr>
      <w:r>
        <w:rPr>
          <w:sz w:val="26"/>
          <w:szCs w:val="26"/>
        </w:rPr>
        <w:t>La presente iniciativa tiene como objetivo adherir a la conmemoración del “Día Mundial contra la Trata” correspondiente al 30 de Julio de cada año. El mismo fue decretado por la Asamblea General de la ONU en 2013, con el fin de concientizar a las personas y a los gobiernos de la grave problemática y flagelo humano que persiste a nivel mundial.</w:t>
      </w:r>
    </w:p>
    <w:p w14:paraId="039FBC07"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sz w:val="26"/>
          <w:szCs w:val="26"/>
        </w:rPr>
      </w:pPr>
    </w:p>
    <w:p w14:paraId="21FD0B59" w14:textId="16EDAACA"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sz w:val="26"/>
          <w:szCs w:val="26"/>
        </w:rPr>
        <w:t>La trata de personas, según explica el Protocolo consensuado mundialmente, es “la captación, el transporte, el traslado, la acogida o la recepción de personas, recurriendo a la amenaza o al uso de la fuerza u otras formas de coacción, al rapto, al fraude, al engaño, al abuso de poder o de una situación de vulnerabilidad o a la concesión o recepción de pagos o beneficios para obtener el consentimiento de una persona que tenga autoridad sobre otra, con fines de explotación. Esa explotación incluirá, como mínimo, la explotación de la prostitución ajena u otras formas de explotación sexual, los trabajo o servicios forzados, la esclavitud o las prácticas análogas a la esclavitud, la servidumbre o la extracción de órganos”</w:t>
      </w:r>
      <w:r>
        <w:rPr>
          <w:sz w:val="26"/>
          <w:szCs w:val="26"/>
          <w:vertAlign w:val="superscript"/>
        </w:rPr>
        <w:footnoteReference w:id="1"/>
      </w:r>
      <w:r>
        <w:rPr>
          <w:rStyle w:val="None"/>
          <w:sz w:val="26"/>
          <w:szCs w:val="26"/>
        </w:rPr>
        <w:t>.</w:t>
      </w:r>
    </w:p>
    <w:p w14:paraId="03A90EA8"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p>
    <w:p w14:paraId="07A3F4CA"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La trata de personas es una de las más graves violaciones a los derechos humanos de la actualidad; específicamente los derechos que se ven vulnerados por esta práctica ilegal son, el derecho a la vida, a la libertad, a la salud, a la educación, a la identidad, el derecho a no ser sometido a esclavitud, servidumbre, trabajo forzoso o trabajo en condiciones de servidumbre por deudas, el derecho a no ser sometido a torturas y/o tratos o penas crueles, inhumanos o degradantes, el derecho a no sufrir violencia de género, el derecho a la libertad de circulación, el derecho a condiciones de trabajo equitativas y satisfactorias, el derecho a un nivel de vida adecuado, el derecho a la seguridad social, y en el caso de los y las niñas a una protección especial</w:t>
      </w:r>
      <w:r>
        <w:rPr>
          <w:rStyle w:val="None"/>
          <w:i/>
          <w:iCs/>
          <w:sz w:val="26"/>
          <w:szCs w:val="26"/>
        </w:rPr>
        <w:t>,</w:t>
      </w:r>
      <w:r>
        <w:rPr>
          <w:rStyle w:val="None"/>
          <w:sz w:val="26"/>
          <w:szCs w:val="26"/>
        </w:rPr>
        <w:t xml:space="preserve"> entre otros derechos fundamentales.</w:t>
      </w:r>
    </w:p>
    <w:p w14:paraId="37F28DE0"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p>
    <w:p w14:paraId="6F398F75"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 xml:space="preserve">Es pertinente para contribuir al reconocimiento de los derechos que fueron vulnerados, brindar las herramientas necesarias para la reinserción de las víctimas en la sociedad, y ofrecer lugares de apoyo que cuenten con la capacitación adecuada evitando la revictimización en este proceso. </w:t>
      </w:r>
    </w:p>
    <w:p w14:paraId="0E41677B"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p>
    <w:p w14:paraId="7E2B836A" w14:textId="0EC1A19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 xml:space="preserve">Con respecto a la temática, en Argentina en el año 2008 se sancionó la Ley Nacional </w:t>
      </w:r>
      <w:proofErr w:type="spellStart"/>
      <w:r>
        <w:rPr>
          <w:rStyle w:val="None"/>
          <w:sz w:val="26"/>
          <w:szCs w:val="26"/>
        </w:rPr>
        <w:t>N°</w:t>
      </w:r>
      <w:proofErr w:type="spellEnd"/>
      <w:r>
        <w:rPr>
          <w:rStyle w:val="None"/>
          <w:sz w:val="26"/>
          <w:szCs w:val="26"/>
        </w:rPr>
        <w:t xml:space="preserve"> 26.364 “Prevención y sanción de la trata de personas y asistencia a sus víctimas”, cuyo propósito es la implementación de medidas destinadas a prevenir y sancionar la trata de personas, asistir y proteger a sus víctimas. La misma refleja la definición de las Naciones Unidas sumando la extracción ilegal de tejidos humanos como otra modalidad de explotación.</w:t>
      </w:r>
    </w:p>
    <w:p w14:paraId="665D8060"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rStyle w:val="None"/>
          <w:i/>
          <w:iCs/>
          <w:sz w:val="26"/>
          <w:szCs w:val="26"/>
        </w:rPr>
      </w:pPr>
    </w:p>
    <w:p w14:paraId="2C12E148"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 xml:space="preserve">En el año 2018, 148 países denunciaron y detectaron alrededor de 50.000 víctimas de trata, pero este número supone una cifra mucho mayor debido a lo oculto que se encuentra este delito. El Informe Global sobre Trata de Personas </w:t>
      </w:r>
      <w:r>
        <w:rPr>
          <w:rStyle w:val="None"/>
          <w:sz w:val="26"/>
          <w:szCs w:val="26"/>
        </w:rPr>
        <w:lastRenderedPageBreak/>
        <w:t>2020 de la Oficina contra la Droga y el Delito</w:t>
      </w:r>
      <w:r>
        <w:rPr>
          <w:rStyle w:val="None"/>
          <w:sz w:val="26"/>
          <w:szCs w:val="26"/>
          <w:vertAlign w:val="superscript"/>
        </w:rPr>
        <w:footnoteReference w:id="2"/>
      </w:r>
      <w:r>
        <w:rPr>
          <w:rStyle w:val="None"/>
          <w:sz w:val="26"/>
          <w:szCs w:val="26"/>
        </w:rPr>
        <w:t xml:space="preserve"> (UNODC, presentado a principios de 2021) muestra </w:t>
      </w:r>
      <w:proofErr w:type="gramStart"/>
      <w:r>
        <w:rPr>
          <w:rStyle w:val="None"/>
          <w:sz w:val="26"/>
          <w:szCs w:val="26"/>
        </w:rPr>
        <w:t>que</w:t>
      </w:r>
      <w:proofErr w:type="gramEnd"/>
      <w:r>
        <w:rPr>
          <w:rStyle w:val="None"/>
          <w:sz w:val="26"/>
          <w:szCs w:val="26"/>
        </w:rPr>
        <w:t xml:space="preserve"> en todo el mundo, la gran mayoría de víctimas son mujeres adultas (46%), mientras que las niñas suponen el 19% del total. Los hombres representan el 20% y los niños, el 15%, número que fue duplicado desde el último reporte. La explotación sexual (50%) sigue siendo el delito más frecuente; las mujeres y niñas representan más del 90% de las víctimas totales de la trata con fines sexuales, aumentando más del 15% de su porcentaje anterior. Mientras que el 72% de las niñas víctimas son explotadas sexualmente y un 21% ejerce trabajo forzado; el 66% de los niños trabaja forzosamente y un 23% es explotado sexualmente.</w:t>
      </w:r>
    </w:p>
    <w:p w14:paraId="6B594B0A"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i/>
          <w:iCs/>
          <w:sz w:val="26"/>
          <w:szCs w:val="26"/>
        </w:rPr>
      </w:pPr>
    </w:p>
    <w:p w14:paraId="5BA0AE33"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 xml:space="preserve">Teniendo en cuenta la problemática, que continua en aumento, es que se considera adecuado, en virtud de todo lo expresado, que esta casa conmemore el Día Mundial contra la Trata, ya que al pasar desapercibidas estas prácticas esclavistas se contribuye a que estos delitos se sigan cometiendo. Para lograr la erradicación de esta conducta delictual, es fundamental la </w:t>
      </w:r>
      <w:proofErr w:type="spellStart"/>
      <w:r>
        <w:rPr>
          <w:rStyle w:val="None"/>
          <w:sz w:val="26"/>
          <w:szCs w:val="26"/>
        </w:rPr>
        <w:t>visibilización</w:t>
      </w:r>
      <w:proofErr w:type="spellEnd"/>
      <w:r>
        <w:rPr>
          <w:rStyle w:val="None"/>
          <w:sz w:val="26"/>
          <w:szCs w:val="26"/>
        </w:rPr>
        <w:t xml:space="preserve"> de la misma.</w:t>
      </w:r>
    </w:p>
    <w:p w14:paraId="3E47C633"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ind w:firstLine="850"/>
        <w:outlineLvl w:val="0"/>
        <w:rPr>
          <w:rStyle w:val="None"/>
          <w:sz w:val="26"/>
          <w:szCs w:val="26"/>
        </w:rPr>
      </w:pPr>
      <w:r>
        <w:rPr>
          <w:rStyle w:val="None"/>
          <w:sz w:val="26"/>
          <w:szCs w:val="26"/>
        </w:rPr>
        <w:t xml:space="preserve">Para finalizar, cabe mencionar que el pasado 3 de abril se cumplieron 20 años de que la joven de 23 años María de los Ángeles Verón, fuera secuestrada en la Provincia de Tucumán. Su madre, Susana </w:t>
      </w:r>
      <w:proofErr w:type="spellStart"/>
      <w:r>
        <w:rPr>
          <w:rStyle w:val="None"/>
          <w:sz w:val="26"/>
          <w:szCs w:val="26"/>
        </w:rPr>
        <w:t>Trimarco</w:t>
      </w:r>
      <w:proofErr w:type="spellEnd"/>
      <w:r>
        <w:rPr>
          <w:rStyle w:val="None"/>
          <w:sz w:val="26"/>
          <w:szCs w:val="26"/>
        </w:rPr>
        <w:t xml:space="preserve"> luchó incansablemente contra la trata de personas y su caso se convirtió en un emblema internacional, mostrando así que este tipo de violaciones a los derechos humanos siguen siendo un flagelo en nuestro país.</w:t>
      </w:r>
    </w:p>
    <w:p w14:paraId="628B6D0A"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before="240" w:after="240" w:line="276" w:lineRule="auto"/>
        <w:ind w:firstLine="2267"/>
        <w:outlineLvl w:val="0"/>
        <w:rPr>
          <w:rFonts w:cs="Times New Roman"/>
          <w:color w:val="auto"/>
          <w:sz w:val="20"/>
          <w:szCs w:val="20"/>
        </w:rPr>
      </w:pPr>
      <w:r>
        <w:rPr>
          <w:rStyle w:val="None"/>
          <w:sz w:val="26"/>
          <w:szCs w:val="26"/>
        </w:rPr>
        <w:t>Por todo lo expuesto, solicitamos el inmediato tratamiento y aprobación del presente proyecto de declaración.</w:t>
      </w:r>
    </w:p>
    <w:p w14:paraId="19E302A9" w14:textId="77777777" w:rsidR="00930060" w:rsidRPr="00E5658D" w:rsidRDefault="00930060" w:rsidP="00930060"/>
    <w:p w14:paraId="798C4FF8" w14:textId="77777777"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0ADDB" w14:textId="77777777" w:rsidR="00E0200F" w:rsidRDefault="00E0200F">
      <w:r>
        <w:separator/>
      </w:r>
    </w:p>
  </w:endnote>
  <w:endnote w:type="continuationSeparator" w:id="0">
    <w:p w14:paraId="27258E19" w14:textId="77777777" w:rsidR="00E0200F" w:rsidRDefault="00E02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6CFB" w14:textId="77777777" w:rsidR="00930060" w:rsidRDefault="0093006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8005" w14:textId="77777777" w:rsidR="00601A75" w:rsidRPr="001C19C4" w:rsidRDefault="00601A75">
    <w:pPr>
      <w:pStyle w:val="Piedepgina"/>
      <w:rPr>
        <w:color w:val="333333"/>
        <w:sz w:val="20"/>
      </w:rPr>
    </w:pPr>
    <w:bookmarkStart w:id="0" w:name="Proyecto"/>
    <w:bookmarkEnd w:id="0"/>
  </w:p>
  <w:p w14:paraId="28422DD0" w14:textId="40A47506" w:rsidR="00601A75" w:rsidRPr="001C19C4" w:rsidRDefault="00601A75">
    <w:pPr>
      <w:pStyle w:val="Piedepgina"/>
      <w:rPr>
        <w:color w:val="333333"/>
        <w:sz w:val="20"/>
      </w:rPr>
    </w:pPr>
    <w:r w:rsidRPr="001C19C4">
      <w:rPr>
        <w:color w:val="333333"/>
        <w:sz w:val="20"/>
      </w:rPr>
      <w:t xml:space="preserve">Último cambio: </w:t>
    </w:r>
    <w:r w:rsidR="00E0200F">
      <w:fldChar w:fldCharType="begin"/>
    </w:r>
    <w:r w:rsidR="00E0200F">
      <w:instrText xml:space="preserve"> SAVEDATE  \* MERGEFORMAT </w:instrText>
    </w:r>
    <w:r w:rsidR="00E0200F">
      <w:fldChar w:fldCharType="separate"/>
    </w:r>
    <w:r w:rsidR="00930060" w:rsidRPr="00930060">
      <w:rPr>
        <w:noProof/>
        <w:color w:val="333333"/>
        <w:sz w:val="20"/>
      </w:rPr>
      <w:t>05/04/2022 15:45:00</w:t>
    </w:r>
    <w:r w:rsidR="00E0200F">
      <w:rPr>
        <w:noProof/>
        <w:color w:val="333333"/>
        <w:sz w:val="20"/>
      </w:rPr>
      <w:fldChar w:fldCharType="end"/>
    </w:r>
    <w:r w:rsidRPr="001C19C4">
      <w:rPr>
        <w:color w:val="333333"/>
        <w:sz w:val="20"/>
      </w:rPr>
      <w:t xml:space="preserve">  -  Cantidad de caracteres: </w:t>
    </w:r>
    <w:r w:rsidR="00E0200F">
      <w:fldChar w:fldCharType="begin"/>
    </w:r>
    <w:r w:rsidR="00E0200F">
      <w:instrText xml:space="preserve"> NUMCHARS  \* MERGEFORMAT </w:instrText>
    </w:r>
    <w:r w:rsidR="00E0200F">
      <w:fldChar w:fldCharType="separate"/>
    </w:r>
    <w:r w:rsidR="00930060" w:rsidRPr="00930060">
      <w:rPr>
        <w:noProof/>
        <w:color w:val="333333"/>
        <w:sz w:val="20"/>
      </w:rPr>
      <w:t>3892</w:t>
    </w:r>
    <w:r w:rsidR="00E0200F">
      <w:rPr>
        <w:noProof/>
        <w:color w:val="333333"/>
        <w:sz w:val="20"/>
      </w:rPr>
      <w:fldChar w:fldCharType="end"/>
    </w:r>
    <w:r w:rsidRPr="001C19C4">
      <w:rPr>
        <w:color w:val="333333"/>
        <w:sz w:val="20"/>
      </w:rPr>
      <w:t xml:space="preserve"> - Cantidad de palabras: </w:t>
    </w:r>
    <w:r w:rsidR="00E0200F">
      <w:fldChar w:fldCharType="begin"/>
    </w:r>
    <w:r w:rsidR="00E0200F">
      <w:instrText xml:space="preserve"> NUMWORDS  \* MERGEFORMAT </w:instrText>
    </w:r>
    <w:r w:rsidR="00E0200F">
      <w:fldChar w:fldCharType="separate"/>
    </w:r>
    <w:r w:rsidR="00D41A7D" w:rsidRPr="00D41A7D">
      <w:rPr>
        <w:noProof/>
        <w:color w:val="333333"/>
        <w:sz w:val="20"/>
      </w:rPr>
      <w:t>777</w:t>
    </w:r>
    <w:r w:rsidR="00E0200F">
      <w:rPr>
        <w:noProof/>
        <w:color w:val="333333"/>
        <w:sz w:val="20"/>
      </w:rPr>
      <w:fldChar w:fldCharType="end"/>
    </w:r>
  </w:p>
  <w:p w14:paraId="0DE450EB"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E0200F">
      <w:fldChar w:fldCharType="begin"/>
    </w:r>
    <w:r w:rsidR="00E0200F">
      <w:instrText xml:space="preserve"> NUMPAGES  \* MERGEFORMAT </w:instrText>
    </w:r>
    <w:r w:rsidR="00E0200F">
      <w:fldChar w:fldCharType="separate"/>
    </w:r>
    <w:r w:rsidR="005241CE" w:rsidRPr="005241CE">
      <w:rPr>
        <w:rStyle w:val="Nmerodepgina"/>
        <w:noProof/>
        <w:color w:val="333333"/>
      </w:rPr>
      <w:t>1</w:t>
    </w:r>
    <w:r w:rsidR="00E0200F">
      <w:rPr>
        <w:rStyle w:val="Nmerodepgina"/>
        <w:noProof/>
        <w:color w:val="333333"/>
      </w:rPr>
      <w:fldChar w:fldCharType="end"/>
    </w:r>
    <w:r w:rsidRPr="001C19C4">
      <w:rPr>
        <w:rStyle w:val="Nmerodepgina"/>
        <w:color w:val="333333"/>
      </w:rPr>
      <w:t xml:space="preserve"> </w:t>
    </w:r>
  </w:p>
  <w:p w14:paraId="0B00FE5F"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94E5" w14:textId="77777777" w:rsidR="00930060" w:rsidRDefault="009300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6E322" w14:textId="77777777" w:rsidR="00E0200F" w:rsidRDefault="00E0200F">
      <w:r>
        <w:separator/>
      </w:r>
    </w:p>
  </w:footnote>
  <w:footnote w:type="continuationSeparator" w:id="0">
    <w:p w14:paraId="17674F74" w14:textId="77777777" w:rsidR="00E0200F" w:rsidRDefault="00E0200F">
      <w:r>
        <w:continuationSeparator/>
      </w:r>
    </w:p>
  </w:footnote>
  <w:footnote w:id="1">
    <w:p w14:paraId="34E9C1B2" w14:textId="77777777" w:rsidR="00930060" w:rsidRDefault="00930060" w:rsidP="00930060">
      <w:pPr>
        <w:pStyle w:val="Piedepgina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outlineLvl w:val="0"/>
        <w:rPr>
          <w:rFonts w:cs="Times New Roman"/>
          <w:color w:val="auto"/>
          <w:sz w:val="20"/>
          <w:szCs w:val="20"/>
        </w:rPr>
      </w:pPr>
      <w:r>
        <w:rPr>
          <w:sz w:val="26"/>
          <w:szCs w:val="26"/>
          <w:vertAlign w:val="superscript"/>
        </w:rPr>
        <w:footnoteRef/>
      </w:r>
      <w:hyperlink r:id="rId1" w:history="1">
        <w:r>
          <w:rPr>
            <w:rStyle w:val="Hyperlink0"/>
          </w:rPr>
          <w:t>http://www.oas.org/juridico/spanish/tratados/sp_proto_prev_repri_y_sanci_trata_pers_espe_muje_y_ni%C3%B1o_compl_conve_nu_contr_deli_org_trans.pdf</w:t>
        </w:r>
      </w:hyperlink>
      <w:r>
        <w:rPr>
          <w:rStyle w:val="None"/>
          <w:position w:val="-16"/>
          <w:sz w:val="20"/>
          <w:szCs w:val="20"/>
        </w:rPr>
        <w:t xml:space="preserve"> </w:t>
      </w:r>
    </w:p>
  </w:footnote>
  <w:footnote w:id="2">
    <w:p w14:paraId="06B89B44" w14:textId="77777777" w:rsidR="00930060" w:rsidRDefault="00930060" w:rsidP="00930060">
      <w:pPr>
        <w:pStyle w:val="Encabezado1"/>
        <w:tabs>
          <w:tab w:val="clear" w:pos="4419"/>
          <w:tab w:val="clear" w:pos="8838"/>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0" w:lineRule="atLeast"/>
        <w:outlineLvl w:val="0"/>
        <w:rPr>
          <w:rFonts w:cs="Times New Roman"/>
          <w:color w:val="auto"/>
          <w:sz w:val="20"/>
          <w:szCs w:val="20"/>
        </w:rPr>
      </w:pPr>
      <w:r>
        <w:rPr>
          <w:rStyle w:val="None"/>
          <w:sz w:val="26"/>
          <w:szCs w:val="26"/>
          <w:vertAlign w:val="superscript"/>
        </w:rPr>
        <w:footnoteRef/>
      </w:r>
      <w:r>
        <w:rPr>
          <w:rStyle w:val="None"/>
          <w:sz w:val="20"/>
          <w:szCs w:val="20"/>
        </w:rPr>
        <w:t xml:space="preserve"> </w:t>
      </w:r>
      <w:hyperlink r:id="rId2" w:history="1">
        <w:r>
          <w:rPr>
            <w:rStyle w:val="Hyperlink1"/>
            <w:rFonts w:eastAsia="Arial Unicode MS"/>
          </w:rPr>
          <w:t>https://www.unodc.org/documents/data-and-analysis/tip/2021/GLOTiP_2020_15jan_web.pdf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4AE8B" w14:textId="77777777" w:rsidR="00930060" w:rsidRDefault="0093006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6863"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03CE7799" wp14:editId="22CECF66">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44CA53B0"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84CD1" w14:textId="77777777" w:rsidR="00930060" w:rsidRDefault="0093006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E0C6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0C6F"/>
    <w:rsid w:val="00906685"/>
    <w:rsid w:val="00910E0F"/>
    <w:rsid w:val="0091690E"/>
    <w:rsid w:val="0093006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1A7D"/>
    <w:rsid w:val="00D43AA2"/>
    <w:rsid w:val="00D518DB"/>
    <w:rsid w:val="00D55ECB"/>
    <w:rsid w:val="00D67721"/>
    <w:rsid w:val="00D758CE"/>
    <w:rsid w:val="00D76A86"/>
    <w:rsid w:val="00D927D4"/>
    <w:rsid w:val="00DD2795"/>
    <w:rsid w:val="00DD4DE2"/>
    <w:rsid w:val="00DD520D"/>
    <w:rsid w:val="00DF0164"/>
    <w:rsid w:val="00DF14A9"/>
    <w:rsid w:val="00DF54AA"/>
    <w:rsid w:val="00E0200F"/>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B8022"/>
  <w15:docId w15:val="{30061B32-B20B-4FAF-9717-E3EE09ED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06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Encabezado1">
    <w:name w:val="Encabezado1"/>
    <w:rsid w:val="00930060"/>
    <w:pPr>
      <w:tabs>
        <w:tab w:val="center" w:pos="4419"/>
        <w:tab w:val="right" w:pos="8838"/>
      </w:tabs>
      <w:jc w:val="both"/>
    </w:pPr>
    <w:rPr>
      <w:rFonts w:eastAsia="Arial Unicode MS" w:cs="Arial Unicode MS"/>
      <w:color w:val="000000"/>
      <w:sz w:val="24"/>
      <w:szCs w:val="24"/>
      <w:u w:color="000000"/>
      <w:lang w:val="es-ES_tradnl"/>
    </w:rPr>
  </w:style>
  <w:style w:type="paragraph" w:customStyle="1" w:styleId="Piedepgina1">
    <w:name w:val="Pie de página1"/>
    <w:rsid w:val="00930060"/>
    <w:pPr>
      <w:tabs>
        <w:tab w:val="center" w:pos="4419"/>
        <w:tab w:val="right" w:pos="8838"/>
      </w:tabs>
      <w:jc w:val="both"/>
    </w:pPr>
    <w:rPr>
      <w:rFonts w:eastAsia="Arial Unicode MS" w:cs="Arial Unicode MS"/>
      <w:color w:val="000000"/>
      <w:sz w:val="24"/>
      <w:szCs w:val="24"/>
      <w:u w:color="000000"/>
      <w:lang w:val="es-ES_tradnl"/>
    </w:rPr>
  </w:style>
  <w:style w:type="character" w:customStyle="1" w:styleId="None">
    <w:name w:val="None"/>
    <w:rsid w:val="00930060"/>
  </w:style>
  <w:style w:type="character" w:customStyle="1" w:styleId="Hyperlink0">
    <w:name w:val="Hyperlink.0"/>
    <w:basedOn w:val="None"/>
    <w:rsid w:val="00930060"/>
    <w:rPr>
      <w:outline w:val="0"/>
      <w:color w:val="0000FF"/>
      <w:position w:val="-16"/>
      <w:sz w:val="20"/>
      <w:szCs w:val="20"/>
      <w:u w:val="single" w:color="0000FF"/>
    </w:rPr>
  </w:style>
  <w:style w:type="character" w:customStyle="1" w:styleId="Hyperlink1">
    <w:name w:val="Hyperlink.1"/>
    <w:basedOn w:val="None"/>
    <w:rsid w:val="00930060"/>
    <w:rPr>
      <w:rFonts w:ascii="Times New Roman" w:eastAsia="Times New Roman" w:hAnsi="Times New Roman" w:cs="Times New Roman"/>
      <w:caps w:val="0"/>
      <w:smallCaps w:val="0"/>
      <w:strike w:val="0"/>
      <w:dstrike w:val="0"/>
      <w:outline w:val="0"/>
      <w:color w:val="1155CC"/>
      <w:spacing w:val="0"/>
      <w:kern w:val="0"/>
      <w:position w:val="0"/>
      <w:sz w:val="20"/>
      <w:szCs w:val="20"/>
      <w:u w:val="single" w:color="1155CC"/>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unodc.org/documents/data-and-analysis/tip/2021/GLOTiP_2020_15jan_web.pdf" TargetMode="External"/><Relationship Id="rId1" Type="http://schemas.openxmlformats.org/officeDocument/2006/relationships/hyperlink" Target="http://www.oas.org/juridico/spanish/tratados/sp_proto_prev_repri_y_sanci_trata_pers_espe_muje_y_ni%25252525C3%25252525B1o_compl_conve_nu_contr_deli_org_tra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teBook\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1</TotalTime>
  <Pages>3</Pages>
  <Words>781</Words>
  <Characters>3907</Characters>
  <Application>Microsoft Office Word</Application>
  <DocSecurity>0</DocSecurity>
  <Lines>83</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EliteBook</dc:creator>
  <cp:lastModifiedBy>Egan, Ignacio</cp:lastModifiedBy>
  <cp:revision>3</cp:revision>
  <cp:lastPrinted>2020-02-28T17:24:00Z</cp:lastPrinted>
  <dcterms:created xsi:type="dcterms:W3CDTF">2022-04-05T18:48:00Z</dcterms:created>
  <dcterms:modified xsi:type="dcterms:W3CDTF">2022-04-05T18:48:00Z</dcterms:modified>
</cp:coreProperties>
</file>