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34C" w:rsidRDefault="0060434C" w:rsidP="0060434C">
      <w:pPr>
        <w:jc w:val="center"/>
        <w:rPr>
          <w:b/>
        </w:rPr>
      </w:pPr>
      <w:r>
        <w:rPr>
          <w:b/>
        </w:rPr>
        <w:t>PROYECTO DE LEY</w:t>
      </w:r>
    </w:p>
    <w:p w:rsidR="0060434C" w:rsidRDefault="0060434C" w:rsidP="0060434C">
      <w:pPr>
        <w:rPr>
          <w:b/>
        </w:rPr>
      </w:pPr>
    </w:p>
    <w:p w:rsidR="0060434C" w:rsidRDefault="0060434C" w:rsidP="0060434C">
      <w:pPr>
        <w:spacing w:line="360" w:lineRule="auto"/>
      </w:pPr>
      <w:r>
        <w:t xml:space="preserve">Artículo 1º.- Desaféctase de las condiciones de edificabilidad del artículo 6.2.5 Unidades de Sustentabilidad de Altura Baja 2 (U.S.A.B.2) del Título 6 "Normas de </w:t>
      </w:r>
      <w:r w:rsidR="00EF20E3">
        <w:t>Edificabilidad"</w:t>
      </w:r>
      <w:r>
        <w:t xml:space="preserve"> del Código Urbanístico, el polígono delimitado por el eje de la calle Vedia, vías del FFCC Mitre, eje de la calle Vilela y eje de la calle Cuba hasta su intersección con el eje de la calle Vedia.</w:t>
      </w:r>
    </w:p>
    <w:p w:rsidR="0060434C" w:rsidRDefault="0060434C" w:rsidP="0060434C">
      <w:pPr>
        <w:spacing w:line="360" w:lineRule="auto"/>
      </w:pPr>
    </w:p>
    <w:p w:rsidR="0060434C" w:rsidRDefault="0060434C" w:rsidP="0060434C">
      <w:pPr>
        <w:spacing w:line="360" w:lineRule="auto"/>
      </w:pPr>
      <w:r>
        <w:t>Artículo 2º.- Aféctase el polígono delimitado por el eje de la calle Vedia, vías del FFCC Mitre, eje de la calle Vilela y eje de la calle Cuba hasta su intersección con el eje de la calle Vedia, al Área de Arquitectura Especial AE-31- Lomas de Núñez del Código Urbanístico.</w:t>
      </w:r>
    </w:p>
    <w:p w:rsidR="0060434C" w:rsidRDefault="0060434C" w:rsidP="0060434C">
      <w:pPr>
        <w:spacing w:line="360" w:lineRule="auto"/>
      </w:pPr>
    </w:p>
    <w:p w:rsidR="0060434C" w:rsidRDefault="0060434C" w:rsidP="0060434C">
      <w:pPr>
        <w:spacing w:line="360" w:lineRule="auto"/>
      </w:pPr>
      <w:r>
        <w:t>Artículo 3º.- Apruébanse las normas urbanísticas para el polígono determinado en el Artículo 2º, que como Anexo I y II, forman parte de la presente Ley.</w:t>
      </w:r>
    </w:p>
    <w:p w:rsidR="0060434C" w:rsidRDefault="0060434C" w:rsidP="0060434C">
      <w:pPr>
        <w:spacing w:line="360" w:lineRule="auto"/>
      </w:pPr>
    </w:p>
    <w:p w:rsidR="0060434C" w:rsidRDefault="0060434C" w:rsidP="0060434C">
      <w:pPr>
        <w:spacing w:line="360" w:lineRule="auto"/>
      </w:pPr>
      <w:r>
        <w:t>Artículo 4º.- Incorpórense como punto 4.1.25.AE31 – Lomas de Núñez, al apartado 4. “Áreas de Arquitectura Especial” del Anexo II “Áreas Especiales Individualizadas” del Código Urbanístico las normas aprobadas para el polígono determinado en el Artículo 3º de la presente Ley.</w:t>
      </w:r>
    </w:p>
    <w:p w:rsidR="0060434C" w:rsidRDefault="0060434C" w:rsidP="0060434C">
      <w:pPr>
        <w:spacing w:line="360" w:lineRule="auto"/>
      </w:pPr>
    </w:p>
    <w:p w:rsidR="0060434C" w:rsidRDefault="0060434C" w:rsidP="0060434C">
      <w:pPr>
        <w:spacing w:line="360" w:lineRule="auto"/>
      </w:pPr>
      <w:r>
        <w:t>Artículo 5º.- Incorpórese el Plano Nº 4.1.25.AE31 – Lomas de Núñez, al Anexo lII “Atlas” del Código Urbanístico, que como Anexo II forma parte integrante de la presente Ley.</w:t>
      </w:r>
    </w:p>
    <w:p w:rsidR="0060434C" w:rsidRDefault="0060434C" w:rsidP="0060434C">
      <w:pPr>
        <w:spacing w:line="360" w:lineRule="auto"/>
      </w:pPr>
    </w:p>
    <w:p w:rsidR="0060434C" w:rsidRDefault="0060434C" w:rsidP="0060434C">
      <w:pPr>
        <w:spacing w:line="360" w:lineRule="auto"/>
      </w:pPr>
      <w:r>
        <w:t>Artículo 6º.- Modifíquese la Plancheta N° 3 del Anexo IV “Planchetas de Edificabilidad y Usos” del Código Urbanístico conforme el Anexo II de la presente Ley.</w:t>
      </w:r>
    </w:p>
    <w:p w:rsidR="0060434C" w:rsidRDefault="0060434C" w:rsidP="0060434C">
      <w:pPr>
        <w:spacing w:line="360" w:lineRule="auto"/>
      </w:pPr>
    </w:p>
    <w:p w:rsidR="0060434C" w:rsidRDefault="0060434C" w:rsidP="0060434C">
      <w:pPr>
        <w:spacing w:line="360" w:lineRule="auto"/>
      </w:pPr>
      <w:r>
        <w:t>Artículo 7º.- Catalóguese con Nivel de Protección Cautelar en los términos del apartado 9.1.2.1. Procedimiento para la catalogación y revisión del catálogo, correspondiente al artículo 9.1.2. “Catalogación” del Código Urbanístico, los inmuebles listados:</w:t>
      </w:r>
    </w:p>
    <w:p w:rsidR="0060434C" w:rsidRDefault="0060434C" w:rsidP="0060434C">
      <w:pPr>
        <w:spacing w:line="360" w:lineRule="auto"/>
      </w:pPr>
    </w:p>
    <w:tbl>
      <w:tblPr>
        <w:tblW w:w="8553" w:type="dxa"/>
        <w:tblBorders>
          <w:top w:val="nil"/>
          <w:left w:val="nil"/>
          <w:bottom w:val="nil"/>
          <w:right w:val="nil"/>
          <w:insideH w:val="nil"/>
          <w:insideV w:val="nil"/>
        </w:tblBorders>
        <w:tblLayout w:type="fixed"/>
        <w:tblLook w:val="0600"/>
      </w:tblPr>
      <w:tblGrid>
        <w:gridCol w:w="1977"/>
        <w:gridCol w:w="6576"/>
      </w:tblGrid>
      <w:tr w:rsidR="0060434C" w:rsidTr="00737AA0">
        <w:trPr>
          <w:trHeight w:val="545"/>
        </w:trPr>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360" w:lineRule="auto"/>
              <w:jc w:val="center"/>
            </w:pPr>
            <w:r>
              <w:t>S-M-P</w:t>
            </w:r>
          </w:p>
        </w:tc>
        <w:tc>
          <w:tcPr>
            <w:tcW w:w="65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360" w:lineRule="auto"/>
              <w:jc w:val="center"/>
            </w:pPr>
            <w:r>
              <w:t>DIRECCION</w:t>
            </w:r>
          </w:p>
        </w:tc>
      </w:tr>
      <w:tr w:rsidR="0060434C" w:rsidTr="00737AA0">
        <w:trPr>
          <w:trHeight w:val="545"/>
        </w:trPr>
        <w:tc>
          <w:tcPr>
            <w:tcW w:w="1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360" w:lineRule="auto"/>
            </w:pPr>
            <w:r>
              <w:t>029-031-023</w:t>
            </w:r>
          </w:p>
        </w:tc>
        <w:tc>
          <w:tcPr>
            <w:tcW w:w="6576" w:type="dxa"/>
            <w:tcBorders>
              <w:top w:val="nil"/>
              <w:left w:val="nil"/>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360" w:lineRule="auto"/>
            </w:pPr>
            <w:r>
              <w:t>Arcos 4050-4052</w:t>
            </w:r>
          </w:p>
        </w:tc>
      </w:tr>
      <w:tr w:rsidR="0060434C" w:rsidTr="00737AA0">
        <w:trPr>
          <w:trHeight w:val="455"/>
        </w:trPr>
        <w:tc>
          <w:tcPr>
            <w:tcW w:w="1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276" w:lineRule="auto"/>
              <w:jc w:val="left"/>
            </w:pPr>
            <w:r>
              <w:t>029-033-023</w:t>
            </w:r>
          </w:p>
        </w:tc>
        <w:tc>
          <w:tcPr>
            <w:tcW w:w="6576" w:type="dxa"/>
            <w:tcBorders>
              <w:top w:val="nil"/>
              <w:left w:val="nil"/>
              <w:bottom w:val="single" w:sz="8" w:space="0" w:color="000000"/>
              <w:right w:val="single" w:sz="8" w:space="0" w:color="000000"/>
            </w:tcBorders>
            <w:tcMar>
              <w:top w:w="100" w:type="dxa"/>
              <w:left w:w="100" w:type="dxa"/>
              <w:bottom w:w="100" w:type="dxa"/>
              <w:right w:w="100" w:type="dxa"/>
            </w:tcMar>
          </w:tcPr>
          <w:p w:rsidR="0060434C" w:rsidRDefault="0060434C" w:rsidP="00737AA0">
            <w:pPr>
              <w:spacing w:line="276" w:lineRule="auto"/>
              <w:jc w:val="left"/>
            </w:pPr>
            <w:r>
              <w:t>Arcos 4202 - Ruiz Huidobro 2115- 2119</w:t>
            </w:r>
          </w:p>
        </w:tc>
      </w:tr>
    </w:tbl>
    <w:p w:rsidR="0060434C" w:rsidRDefault="0060434C" w:rsidP="0060434C">
      <w:pPr>
        <w:spacing w:line="360" w:lineRule="auto"/>
      </w:pPr>
    </w:p>
    <w:p w:rsidR="0060434C" w:rsidRDefault="0060434C" w:rsidP="0060434C">
      <w:pPr>
        <w:spacing w:before="40" w:line="360" w:lineRule="auto"/>
        <w:ind w:right="320"/>
      </w:pPr>
      <w:r>
        <w:lastRenderedPageBreak/>
        <w:t>Artículo 8°.- Incorpórense los inmuebles catalogados por el Artículo 7º al Catálogo de Inmuebles Protegidos, previsto en el artículo 9.1.2.3. Catálogo, que como Anexo I forma parte del Código Urbanístico.</w:t>
      </w:r>
    </w:p>
    <w:p w:rsidR="0060434C" w:rsidRDefault="0060434C" w:rsidP="0060434C">
      <w:pPr>
        <w:spacing w:line="360" w:lineRule="auto"/>
        <w:ind w:right="180"/>
      </w:pPr>
    </w:p>
    <w:p w:rsidR="0060434C" w:rsidRDefault="0060434C" w:rsidP="0060434C">
      <w:pPr>
        <w:spacing w:line="360" w:lineRule="auto"/>
        <w:ind w:right="180"/>
      </w:pPr>
      <w:r>
        <w:t>Artículo 9º.- El Poder Ejecutivo, a través de la Dirección General de Registro de Obras y Catastro dependiente de la Subsecretaría de Gestión Urbana, deberá asentar en la Documentación Catastral correspondiente, la catalogación establecida por el Artículo 7º.</w:t>
      </w:r>
    </w:p>
    <w:p w:rsidR="007C0DA9" w:rsidRDefault="007C0DA9" w:rsidP="00A815D7">
      <w:pPr>
        <w:spacing w:line="218" w:lineRule="auto"/>
      </w:pPr>
    </w:p>
    <w:p w:rsidR="0023361B" w:rsidRDefault="007C0DA9" w:rsidP="0023361B">
      <w:pPr>
        <w:spacing w:line="276" w:lineRule="auto"/>
      </w:pPr>
      <w:r>
        <w:t>Artículo 1</w:t>
      </w:r>
      <w:r w:rsidR="00A815D7">
        <w:t>0</w:t>
      </w:r>
      <w:r>
        <w:t xml:space="preserve">º.- </w:t>
      </w:r>
      <w:r w:rsidR="0023361B">
        <w:t xml:space="preserve"> Incorpórese el siguiente inciso 12.9.18 del artículo 12 Zonificación de la Ley N° 2936, de conformidad al siguiente texto:</w:t>
      </w:r>
    </w:p>
    <w:p w:rsidR="0023361B" w:rsidRDefault="0023361B" w:rsidP="0023361B">
      <w:pPr>
        <w:spacing w:line="276" w:lineRule="auto"/>
      </w:pPr>
    </w:p>
    <w:p w:rsidR="007C0DA9" w:rsidRPr="00A815D7" w:rsidRDefault="0023361B" w:rsidP="00A815D7">
      <w:pPr>
        <w:spacing w:line="276" w:lineRule="auto"/>
        <w:ind w:left="708"/>
        <w:rPr>
          <w:i/>
        </w:rPr>
      </w:pPr>
      <w:r w:rsidRPr="00A815D7">
        <w:rPr>
          <w:i/>
        </w:rPr>
        <w:t>12.9.18 Área AE 31 Lomas de Nuñez:  Se asimilia a Distrito APH. No se admite ningún tipo de publicidad.</w:t>
      </w:r>
    </w:p>
    <w:p w:rsidR="007C0DA9" w:rsidRDefault="007C0DA9" w:rsidP="007C0DA9">
      <w:pPr>
        <w:spacing w:line="276" w:lineRule="auto"/>
        <w:rPr>
          <w:rFonts w:ascii="Calibri" w:eastAsia="Calibri" w:hAnsi="Calibri" w:cs="Calibri"/>
          <w:sz w:val="22"/>
          <w:szCs w:val="22"/>
        </w:rPr>
      </w:pPr>
    </w:p>
    <w:p w:rsidR="0060434C" w:rsidRDefault="0060434C" w:rsidP="0060434C">
      <w:pPr>
        <w:spacing w:line="360" w:lineRule="auto"/>
      </w:pPr>
      <w:r>
        <w:t>Artículo 1</w:t>
      </w:r>
      <w:r w:rsidR="00A815D7">
        <w:t>1</w:t>
      </w:r>
      <w:bookmarkStart w:id="0" w:name="_GoBack"/>
      <w:bookmarkEnd w:id="0"/>
      <w:r>
        <w:t>º.- De forma.</w:t>
      </w:r>
    </w:p>
    <w:p w:rsidR="0060434C" w:rsidRDefault="0060434C" w:rsidP="0060434C">
      <w:pPr>
        <w:spacing w:line="360" w:lineRule="auto"/>
        <w:jc w:val="left"/>
      </w:pPr>
    </w:p>
    <w:p w:rsidR="0060434C" w:rsidRDefault="0060434C" w:rsidP="0060434C">
      <w:pPr>
        <w:jc w:val="left"/>
      </w:pPr>
    </w:p>
    <w:p w:rsidR="007C0DA9" w:rsidRPr="008857F5" w:rsidRDefault="007C0DA9" w:rsidP="007C0DA9">
      <w:pPr>
        <w:jc w:val="center"/>
        <w:rPr>
          <w:rFonts w:cstheme="minorHAnsi"/>
          <w:b/>
          <w:sz w:val="28"/>
          <w:u w:val="single"/>
        </w:rPr>
      </w:pPr>
      <w:r w:rsidRPr="008857F5">
        <w:rPr>
          <w:rFonts w:cstheme="minorHAnsi"/>
          <w:b/>
          <w:sz w:val="28"/>
          <w:u w:val="single"/>
        </w:rPr>
        <w:t>ANEXO I</w:t>
      </w:r>
    </w:p>
    <w:p w:rsidR="007C0DA9" w:rsidRPr="008857F5" w:rsidRDefault="007C0DA9" w:rsidP="007C0DA9">
      <w:pPr>
        <w:jc w:val="center"/>
        <w:rPr>
          <w:rFonts w:cstheme="minorHAnsi"/>
          <w:b/>
          <w:sz w:val="28"/>
          <w:u w:val="single"/>
        </w:rPr>
      </w:pPr>
      <w:r w:rsidRPr="008857F5">
        <w:rPr>
          <w:rFonts w:cstheme="minorHAnsi"/>
          <w:b/>
          <w:sz w:val="28"/>
          <w:u w:val="single"/>
        </w:rPr>
        <w:t>NORMATIVA URBANÍSTICA</w:t>
      </w:r>
    </w:p>
    <w:p w:rsidR="007C0DA9" w:rsidRDefault="007C0DA9" w:rsidP="007C0DA9">
      <w:pPr>
        <w:rPr>
          <w:rFonts w:cstheme="minorHAnsi"/>
          <w:color w:val="00B1F1"/>
          <w:sz w:val="28"/>
          <w:szCs w:val="28"/>
        </w:rPr>
      </w:pPr>
    </w:p>
    <w:p w:rsidR="007C0DA9" w:rsidRPr="008857F5" w:rsidRDefault="007C0DA9" w:rsidP="007C0DA9">
      <w:pPr>
        <w:rPr>
          <w:rFonts w:cstheme="minorHAnsi"/>
          <w:sz w:val="28"/>
          <w:szCs w:val="28"/>
        </w:rPr>
      </w:pPr>
      <w:r w:rsidRPr="008857F5">
        <w:rPr>
          <w:rFonts w:cstheme="minorHAnsi"/>
          <w:sz w:val="28"/>
          <w:szCs w:val="28"/>
        </w:rPr>
        <w:t>4.1.25 AE31 – Lomas de Núñez</w:t>
      </w:r>
    </w:p>
    <w:p w:rsidR="007C0DA9" w:rsidRPr="008857F5" w:rsidRDefault="007C0DA9" w:rsidP="007C0DA9">
      <w:pPr>
        <w:autoSpaceDE w:val="0"/>
        <w:autoSpaceDN w:val="0"/>
        <w:adjustRightInd w:val="0"/>
        <w:rPr>
          <w:rFonts w:cstheme="minorHAnsi"/>
        </w:rPr>
      </w:pPr>
      <w:r w:rsidRPr="008857F5">
        <w:rPr>
          <w:rFonts w:cstheme="minorHAnsi"/>
        </w:rPr>
        <w:t xml:space="preserve">1 AE31) Delimitación: Polígono delimitado por el eje de la calle Vedia, vías del FFCC Mitre, eje de la calle Vilela y eje de la calle Cuba hasta su intersección con el eje de la calle Vedia, según Plancheta de Edificabilidad y Usos y Plano Nº 4.1.25. </w:t>
      </w:r>
    </w:p>
    <w:p w:rsidR="007C0DA9" w:rsidRPr="0034004A" w:rsidRDefault="007C0DA9" w:rsidP="007C0DA9">
      <w:pPr>
        <w:rPr>
          <w:rFonts w:cstheme="minorHAnsi"/>
        </w:rPr>
      </w:pPr>
    </w:p>
    <w:p w:rsidR="007C0DA9" w:rsidRPr="008857F5" w:rsidRDefault="007C0DA9" w:rsidP="007C0DA9">
      <w:pPr>
        <w:rPr>
          <w:rFonts w:cstheme="minorHAnsi"/>
        </w:rPr>
      </w:pPr>
      <w:r w:rsidRPr="008857F5">
        <w:rPr>
          <w:rFonts w:cstheme="minorHAnsi"/>
        </w:rPr>
        <w:t>2 AE31) Carácter:</w:t>
      </w:r>
    </w:p>
    <w:p w:rsidR="007C0DA9" w:rsidRPr="008857F5" w:rsidRDefault="007C0DA9" w:rsidP="007C0DA9">
      <w:pPr>
        <w:rPr>
          <w:rFonts w:cstheme="minorHAnsi"/>
        </w:rPr>
      </w:pPr>
      <w:r w:rsidRPr="008857F5">
        <w:rPr>
          <w:rFonts w:cstheme="minorHAnsi"/>
          <w:iCs/>
        </w:rPr>
        <w:t xml:space="preserve">Zona </w:t>
      </w:r>
      <w:r w:rsidRPr="008857F5">
        <w:rPr>
          <w:rFonts w:cstheme="minorHAnsi"/>
        </w:rPr>
        <w:t>destinada</w:t>
      </w:r>
      <w:r w:rsidRPr="008857F5">
        <w:rPr>
          <w:rFonts w:cstheme="minorHAnsi"/>
          <w:iCs/>
        </w:rPr>
        <w:t xml:space="preserve"> al uso residencial con viviendas individuales y colectivas de densidad media – baja y altura limitada</w:t>
      </w:r>
      <w:r>
        <w:rPr>
          <w:rFonts w:cstheme="minorHAnsi"/>
          <w:iCs/>
        </w:rPr>
        <w:t xml:space="preserve">, </w:t>
      </w:r>
      <w:r w:rsidRPr="008857F5">
        <w:rPr>
          <w:rFonts w:cstheme="minorHAnsi"/>
        </w:rPr>
        <w:t>que por su configuración topográfica presenta diferencias de nivel dentro de las manzanas y parcelas que la conforman</w:t>
      </w:r>
      <w:r w:rsidRPr="008857F5">
        <w:rPr>
          <w:rFonts w:cstheme="minorHAnsi"/>
          <w:iCs/>
        </w:rPr>
        <w:t>.</w:t>
      </w:r>
    </w:p>
    <w:p w:rsidR="007C0DA9" w:rsidRPr="0034004A" w:rsidRDefault="007C0DA9" w:rsidP="007C0DA9">
      <w:pPr>
        <w:rPr>
          <w:rFonts w:cstheme="minorHAnsi"/>
        </w:rPr>
      </w:pPr>
    </w:p>
    <w:p w:rsidR="007C0DA9" w:rsidRDefault="007C0DA9" w:rsidP="007C0DA9">
      <w:r w:rsidRPr="008857F5">
        <w:rPr>
          <w:rFonts w:cstheme="minorHAnsi"/>
        </w:rPr>
        <w:t xml:space="preserve">3 AE31) Parcelamiento: se admite la unificación y subdivisión parcelaria. </w:t>
      </w:r>
      <w:r w:rsidRPr="008857F5">
        <w:t xml:space="preserve">No se permitirá unificación parcelaria para conformar parcelas pasantes. </w:t>
      </w:r>
    </w:p>
    <w:p w:rsidR="007C0DA9" w:rsidRPr="00D753A8" w:rsidRDefault="007C0DA9" w:rsidP="007C0DA9">
      <w:r w:rsidRPr="00352526">
        <w:rPr>
          <w:rFonts w:cstheme="minorHAnsi"/>
        </w:rPr>
        <w:t xml:space="preserve">Ante una unificación parcelaria, con niveles de cota diferenciales entre parcelas a unificar, el Organismo </w:t>
      </w:r>
      <w:r w:rsidRPr="00D753A8">
        <w:t xml:space="preserve">Competente en materia Catastral debe fijar el nivel de la cota de la parcela o de la cota arquitectónica de barranca, teniendo en cuanta la particularidad. </w:t>
      </w:r>
    </w:p>
    <w:p w:rsidR="00CE6BE9" w:rsidRDefault="00CE6BE9" w:rsidP="007C0DA9"/>
    <w:p w:rsidR="007C0DA9" w:rsidRPr="00D753A8" w:rsidRDefault="007C0DA9" w:rsidP="007C0DA9">
      <w:r w:rsidRPr="00D753A8">
        <w:t xml:space="preserve">4 AE31) Cota de parcela y cota arquitectónica de barranca:  </w:t>
      </w:r>
    </w:p>
    <w:p w:rsidR="007C0DA9" w:rsidRPr="00D753A8" w:rsidRDefault="007C0DA9" w:rsidP="007C0DA9">
      <w:r w:rsidRPr="00D753A8">
        <w:t xml:space="preserve">De acuerdo al artículo 3.1.2.2 del Código de Edificación. </w:t>
      </w:r>
    </w:p>
    <w:p w:rsidR="007C0DA9" w:rsidRPr="00D753A8" w:rsidRDefault="007C0DA9" w:rsidP="007C0DA9">
      <w:pPr>
        <w:autoSpaceDE w:val="0"/>
        <w:autoSpaceDN w:val="0"/>
        <w:adjustRightInd w:val="0"/>
      </w:pPr>
    </w:p>
    <w:p w:rsidR="007C0DA9" w:rsidRPr="00D753A8" w:rsidRDefault="007C0DA9" w:rsidP="007C0DA9">
      <w:pPr>
        <w:autoSpaceDE w:val="0"/>
        <w:autoSpaceDN w:val="0"/>
        <w:adjustRightInd w:val="0"/>
      </w:pPr>
      <w:r w:rsidRPr="00D753A8">
        <w:t xml:space="preserve">5 AE31) Tipología edilicia:  </w:t>
      </w:r>
      <w:r w:rsidRPr="00D753A8">
        <w:rPr>
          <w:rFonts w:eastAsia="MyriadPro-Regular"/>
        </w:rPr>
        <w:t>Se permiten edificios entre medianeras, de perímetro semilibre y de perímetro libre de altura limitada.</w:t>
      </w:r>
    </w:p>
    <w:p w:rsidR="007C0DA9" w:rsidRPr="00D753A8" w:rsidRDefault="007C0DA9" w:rsidP="007C0DA9"/>
    <w:p w:rsidR="007C0DA9" w:rsidRPr="00D753A8" w:rsidRDefault="007C0DA9" w:rsidP="007C0DA9">
      <w:r w:rsidRPr="00D753A8">
        <w:t>5.1 AE31) Morfología edilicia:</w:t>
      </w:r>
    </w:p>
    <w:p w:rsidR="007C0DA9" w:rsidRPr="00D753A8" w:rsidRDefault="007C0DA9" w:rsidP="007C0DA9">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sidRPr="00D753A8">
        <w:rPr>
          <w:rFonts w:ascii="Times New Roman" w:hAnsi="Times New Roman" w:cs="Times New Roman"/>
          <w:sz w:val="24"/>
          <w:szCs w:val="24"/>
        </w:rPr>
        <w:t xml:space="preserve">Altura máxima: nueve metros (9 m) </w:t>
      </w:r>
      <w:r w:rsidRPr="00D753A8">
        <w:rPr>
          <w:rFonts w:ascii="Times New Roman" w:eastAsia="MyriadPro-Regular" w:hAnsi="Times New Roman" w:cs="Times New Roman"/>
          <w:sz w:val="24"/>
          <w:szCs w:val="24"/>
        </w:rPr>
        <w:t>a contar desde la cota de la parcela o cota arquitectónica de barranca,</w:t>
      </w:r>
      <w:r w:rsidRPr="00D753A8">
        <w:rPr>
          <w:rFonts w:ascii="Times New Roman" w:hAnsi="Times New Roman" w:cs="Times New Roman"/>
          <w:sz w:val="24"/>
          <w:szCs w:val="24"/>
        </w:rPr>
        <w:t xml:space="preserve"> con una altura de Planta Baja mínima de dos metros con sesenta centímetros (2,60 m). </w:t>
      </w:r>
    </w:p>
    <w:p w:rsidR="007C0DA9" w:rsidRPr="00D753A8" w:rsidRDefault="007C0DA9" w:rsidP="007C0DA9">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sidRPr="00D753A8">
        <w:rPr>
          <w:rFonts w:ascii="Times New Roman" w:hAnsi="Times New Roman" w:cs="Times New Roman"/>
          <w:sz w:val="24"/>
          <w:szCs w:val="24"/>
        </w:rPr>
        <w:t xml:space="preserve">Perfil edificable: Por sobre la altura máxima, no se puede construir ningún nivel retirado. En este caso, la altura máxima coincidirá con el Plano Límite. </w:t>
      </w:r>
    </w:p>
    <w:p w:rsidR="007C0DA9" w:rsidRPr="00D753A8" w:rsidRDefault="007C0DA9" w:rsidP="007C0DA9">
      <w:pPr>
        <w:pStyle w:val="Prrafodelista"/>
        <w:numPr>
          <w:ilvl w:val="0"/>
          <w:numId w:val="3"/>
        </w:numPr>
        <w:spacing w:after="0" w:line="240" w:lineRule="auto"/>
        <w:jc w:val="both"/>
        <w:rPr>
          <w:rFonts w:ascii="Times New Roman" w:hAnsi="Times New Roman" w:cs="Times New Roman"/>
          <w:sz w:val="24"/>
          <w:szCs w:val="24"/>
        </w:rPr>
      </w:pPr>
      <w:r w:rsidRPr="00D753A8">
        <w:rPr>
          <w:rFonts w:ascii="Times New Roman" w:hAnsi="Times New Roman" w:cs="Times New Roman"/>
          <w:sz w:val="24"/>
          <w:szCs w:val="24"/>
        </w:rPr>
        <w:lastRenderedPageBreak/>
        <w:t xml:space="preserve">Área edificable:  </w:t>
      </w:r>
    </w:p>
    <w:p w:rsidR="007C0DA9" w:rsidRPr="00D753A8" w:rsidRDefault="007C0DA9" w:rsidP="007C0DA9">
      <w:pPr>
        <w:autoSpaceDE w:val="0"/>
        <w:autoSpaceDN w:val="0"/>
        <w:adjustRightInd w:val="0"/>
        <w:ind w:left="360" w:firstLine="348"/>
      </w:pPr>
      <w:r w:rsidRPr="00D753A8">
        <w:t>El área edificable se encuentra limitada por la L.E. y la L.F.I.</w:t>
      </w:r>
    </w:p>
    <w:p w:rsidR="007C0DA9" w:rsidRPr="00D753A8" w:rsidRDefault="007C0DA9" w:rsidP="007C0DA9">
      <w:pPr>
        <w:autoSpaceDE w:val="0"/>
        <w:autoSpaceDN w:val="0"/>
        <w:adjustRightInd w:val="0"/>
        <w:ind w:left="708"/>
        <w:rPr>
          <w:rFonts w:eastAsia="MyriadPro-Regular"/>
        </w:rPr>
      </w:pPr>
      <w:r w:rsidRPr="00D753A8">
        <w:rPr>
          <w:rFonts w:eastAsia="MyriadPro-Regular"/>
        </w:rPr>
        <w:t xml:space="preserve">Línea de edificación: </w:t>
      </w:r>
    </w:p>
    <w:p w:rsidR="007C0DA9" w:rsidRPr="00D753A8" w:rsidRDefault="007C0DA9" w:rsidP="007C0DA9">
      <w:pPr>
        <w:autoSpaceDE w:val="0"/>
        <w:autoSpaceDN w:val="0"/>
        <w:adjustRightInd w:val="0"/>
        <w:ind w:left="708"/>
        <w:rPr>
          <w:rFonts w:eastAsia="MyriadPro-Regular"/>
        </w:rPr>
      </w:pPr>
      <w:r w:rsidRPr="00D753A8">
        <w:rPr>
          <w:rFonts w:eastAsia="MyriadPro-Regular"/>
        </w:rPr>
        <w:t xml:space="preserve">Retiro de frente mínimo: </w:t>
      </w:r>
    </w:p>
    <w:p w:rsidR="007C0DA9" w:rsidRPr="00D753A8" w:rsidRDefault="007C0DA9" w:rsidP="007C0DA9">
      <w:pPr>
        <w:autoSpaceDE w:val="0"/>
        <w:autoSpaceDN w:val="0"/>
        <w:adjustRightInd w:val="0"/>
        <w:ind w:left="708"/>
        <w:rPr>
          <w:rFonts w:eastAsia="MyriadPro-Regular"/>
        </w:rPr>
      </w:pPr>
      <w:r w:rsidRPr="00D753A8">
        <w:rPr>
          <w:rFonts w:eastAsia="MyriadPro-Regular"/>
        </w:rPr>
        <w:t>En parcelas intermedias 3 m.</w:t>
      </w:r>
    </w:p>
    <w:p w:rsidR="007C0DA9" w:rsidRPr="00D753A8" w:rsidRDefault="007C0DA9" w:rsidP="007C0DA9">
      <w:pPr>
        <w:autoSpaceDE w:val="0"/>
        <w:autoSpaceDN w:val="0"/>
        <w:adjustRightInd w:val="0"/>
        <w:ind w:left="708"/>
        <w:rPr>
          <w:rFonts w:eastAsia="MyriadPro-Regular"/>
        </w:rPr>
      </w:pPr>
      <w:r w:rsidRPr="00D753A8">
        <w:rPr>
          <w:rFonts w:eastAsia="MyriadPro-Regular"/>
        </w:rPr>
        <w:t xml:space="preserve">En parcelas de esquina 3 m y 1 m desde las respectivas Líneas Oficiales. </w:t>
      </w:r>
    </w:p>
    <w:p w:rsidR="007C0DA9" w:rsidRPr="00D753A8" w:rsidRDefault="007C0DA9" w:rsidP="007C0DA9">
      <w:pPr>
        <w:autoSpaceDE w:val="0"/>
        <w:autoSpaceDN w:val="0"/>
        <w:adjustRightInd w:val="0"/>
        <w:ind w:left="708"/>
        <w:rPr>
          <w:rFonts w:eastAsia="MyriadPro-Regular"/>
        </w:rPr>
      </w:pPr>
      <w:r w:rsidRPr="00D753A8">
        <w:rPr>
          <w:rFonts w:eastAsia="MyriadPro-Regular"/>
        </w:rPr>
        <w:t>El propietario podrá determinar las L.O. respecto de las cuales efectuará cada uno de los retiros.</w:t>
      </w:r>
    </w:p>
    <w:p w:rsidR="007C0DA9" w:rsidRPr="00D753A8" w:rsidRDefault="007C0DA9" w:rsidP="007C0DA9">
      <w:pPr>
        <w:autoSpaceDE w:val="0"/>
        <w:autoSpaceDN w:val="0"/>
        <w:adjustRightInd w:val="0"/>
        <w:ind w:left="708"/>
      </w:pPr>
    </w:p>
    <w:p w:rsidR="007C0DA9" w:rsidRPr="00D753A8" w:rsidRDefault="007C0DA9" w:rsidP="007C0DA9">
      <w:pPr>
        <w:autoSpaceDE w:val="0"/>
        <w:autoSpaceDN w:val="0"/>
        <w:adjustRightInd w:val="0"/>
      </w:pPr>
      <w:r w:rsidRPr="00D753A8">
        <w:t xml:space="preserve">Extensiones vinculadas al Espacio Libre de Manzana: no es de aplicación el artículo 6.4.2.3., inciso d).   </w:t>
      </w:r>
    </w:p>
    <w:p w:rsidR="007C0DA9" w:rsidRPr="00D753A8" w:rsidRDefault="007C0DA9" w:rsidP="007C0DA9">
      <w:pPr>
        <w:autoSpaceDE w:val="0"/>
        <w:autoSpaceDN w:val="0"/>
        <w:adjustRightInd w:val="0"/>
      </w:pPr>
      <w:r w:rsidRPr="00D753A8">
        <w:t xml:space="preserve">Subsuelo: se pueden edificar subsuelos hasta la Línea de Frente Interno.  </w:t>
      </w:r>
    </w:p>
    <w:p w:rsidR="007C0DA9" w:rsidRPr="00D753A8" w:rsidRDefault="007C0DA9" w:rsidP="007C0DA9">
      <w:pPr>
        <w:autoSpaceDE w:val="0"/>
        <w:autoSpaceDN w:val="0"/>
        <w:adjustRightInd w:val="0"/>
      </w:pPr>
      <w:r w:rsidRPr="00D753A8">
        <w:t>No resulta de aplicación el artículo 6.5.5. Completamiento de Tejido o Edificabilidad.</w:t>
      </w:r>
    </w:p>
    <w:p w:rsidR="007C0DA9" w:rsidRPr="00D753A8" w:rsidRDefault="007C0DA9" w:rsidP="007C0DA9">
      <w:pPr>
        <w:autoSpaceDE w:val="0"/>
        <w:autoSpaceDN w:val="0"/>
        <w:adjustRightInd w:val="0"/>
      </w:pPr>
    </w:p>
    <w:p w:rsidR="007C0DA9" w:rsidRDefault="007C0DA9" w:rsidP="007C0DA9">
      <w:pPr>
        <w:autoSpaceDE w:val="0"/>
        <w:autoSpaceDN w:val="0"/>
        <w:adjustRightInd w:val="0"/>
        <w:rPr>
          <w:rFonts w:cstheme="minorHAnsi"/>
        </w:rPr>
      </w:pPr>
      <w:r w:rsidRPr="00D753A8">
        <w:t>Cuando el/los edificios linderos se encuentren consolidados con parámetros superiores a los vigentes, sobre la Línea Oficial (L.O.) y/o posean una Línea de Edificación (L.E.) distinta a la establecida como</w:t>
      </w:r>
      <w:r>
        <w:rPr>
          <w:rFonts w:cstheme="minorHAnsi"/>
        </w:rPr>
        <w:t xml:space="preserve"> retiro obligatorio se </w:t>
      </w:r>
      <w:r w:rsidRPr="00584BD2">
        <w:rPr>
          <w:rFonts w:cstheme="minorHAnsi"/>
        </w:rPr>
        <w:t>puede alcanzar</w:t>
      </w:r>
      <w:r>
        <w:rPr>
          <w:rFonts w:cstheme="minorHAnsi"/>
        </w:rPr>
        <w:t xml:space="preserve"> dicha línea </w:t>
      </w:r>
      <w:r w:rsidRPr="00584BD2">
        <w:rPr>
          <w:rFonts w:cstheme="minorHAnsi"/>
        </w:rPr>
        <w:t xml:space="preserve">incorporando </w:t>
      </w:r>
      <w:r>
        <w:rPr>
          <w:rFonts w:cstheme="minorHAnsi"/>
        </w:rPr>
        <w:t xml:space="preserve">balcones/ terrazas, siempre y cuando la estructura portante se retire un mínimo de 1,50 m de la L.O. </w:t>
      </w:r>
    </w:p>
    <w:p w:rsidR="00CE6BE9" w:rsidRDefault="00CE6BE9" w:rsidP="007C0DA9">
      <w:pPr>
        <w:rPr>
          <w:rFonts w:cstheme="minorHAnsi"/>
        </w:rPr>
      </w:pPr>
    </w:p>
    <w:p w:rsidR="007C0DA9" w:rsidRPr="00DB26AC" w:rsidRDefault="007C0DA9" w:rsidP="007C0DA9">
      <w:pPr>
        <w:rPr>
          <w:rFonts w:cstheme="minorHAnsi"/>
        </w:rPr>
      </w:pPr>
      <w:r w:rsidRPr="00DB26AC">
        <w:rPr>
          <w:rFonts w:cstheme="minorHAnsi"/>
        </w:rPr>
        <w:t>6 AE31) Usos:</w:t>
      </w:r>
    </w:p>
    <w:p w:rsidR="007C0DA9" w:rsidRPr="00DB26AC" w:rsidRDefault="007C0DA9" w:rsidP="007C0DA9">
      <w:pPr>
        <w:rPr>
          <w:rFonts w:eastAsiaTheme="minorEastAsia"/>
        </w:rPr>
      </w:pPr>
      <w:r w:rsidRPr="00DB26AC">
        <w:rPr>
          <w:rFonts w:eastAsiaTheme="minorEastAsia"/>
        </w:rPr>
        <w:t>Se permiten los usos de suelo que resulten de aplicar las disposiciones del Cuadro de Usos N° 3.3 para el Área de Baja Mixtura de Usos (1).</w:t>
      </w:r>
    </w:p>
    <w:p w:rsidR="007C0DA9" w:rsidRDefault="007C0DA9" w:rsidP="007C0DA9">
      <w:pPr>
        <w:rPr>
          <w:rFonts w:cstheme="minorHAnsi"/>
        </w:rPr>
      </w:pPr>
    </w:p>
    <w:p w:rsidR="007C0DA9" w:rsidRPr="00DB26AC" w:rsidRDefault="007C0DA9" w:rsidP="007C0DA9">
      <w:pPr>
        <w:rPr>
          <w:rFonts w:cstheme="minorHAnsi"/>
        </w:rPr>
      </w:pPr>
      <w:r w:rsidRPr="00DB26AC">
        <w:rPr>
          <w:rFonts w:cstheme="minorHAnsi"/>
        </w:rPr>
        <w:t xml:space="preserve">7 AE31) Protección Ambiental: Conjunto urbano singular con calidad ambiental formado por la barranca natural y su entorno. </w:t>
      </w:r>
    </w:p>
    <w:p w:rsidR="007C0DA9" w:rsidRDefault="007C0DA9" w:rsidP="007C0DA9">
      <w:pPr>
        <w:rPr>
          <w:rFonts w:cstheme="minorHAnsi"/>
        </w:rPr>
      </w:pPr>
      <w:r w:rsidRPr="00DB26AC">
        <w:rPr>
          <w:rFonts w:cstheme="minorHAnsi"/>
        </w:rPr>
        <w:t xml:space="preserve">Para los presentes casos, el nivel de cota arquitectónica de barranca, a determinar por el Organismo competente en materia catastral, debe ser acompañado por una consulta de prefactibilidad emitida por el Organismo competente en materia de Interpretación Urbanística y la intervención del organismo competente en Planeamiento Urbano, con el fin de preservar la calidad paisajística ambiental. </w:t>
      </w:r>
    </w:p>
    <w:p w:rsidR="007C0DA9" w:rsidRPr="00DB26AC" w:rsidRDefault="007C0DA9" w:rsidP="007C0DA9">
      <w:pPr>
        <w:rPr>
          <w:rFonts w:cstheme="minorHAnsi"/>
        </w:rPr>
      </w:pPr>
    </w:p>
    <w:p w:rsidR="007C0DA9" w:rsidRPr="00DB26AC" w:rsidRDefault="007C0DA9" w:rsidP="007C0DA9">
      <w:pPr>
        <w:rPr>
          <w:rFonts w:cstheme="minorHAnsi"/>
        </w:rPr>
      </w:pPr>
      <w:r w:rsidRPr="00DB26AC">
        <w:rPr>
          <w:rFonts w:cstheme="minorHAnsi"/>
        </w:rPr>
        <w:t>7.1 AE31) Listado de inmuebles afectados</w:t>
      </w:r>
    </w:p>
    <w:tbl>
      <w:tblPr>
        <w:tblW w:w="7980" w:type="dxa"/>
        <w:tblCellMar>
          <w:left w:w="70" w:type="dxa"/>
          <w:right w:w="70" w:type="dxa"/>
        </w:tblCellMar>
        <w:tblLook w:val="04A0"/>
      </w:tblPr>
      <w:tblGrid>
        <w:gridCol w:w="680"/>
        <w:gridCol w:w="680"/>
        <w:gridCol w:w="697"/>
        <w:gridCol w:w="1499"/>
        <w:gridCol w:w="4441"/>
      </w:tblGrid>
      <w:tr w:rsidR="007C0DA9" w:rsidRPr="009216F1" w:rsidTr="009260E3">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0DA9" w:rsidRPr="009216F1" w:rsidRDefault="007C0DA9" w:rsidP="009260E3">
            <w:pPr>
              <w:jc w:val="center"/>
              <w:rPr>
                <w:rFonts w:ascii="Calibri" w:hAnsi="Calibri" w:cs="Calibri"/>
                <w:b/>
                <w:bCs/>
                <w:color w:val="000000"/>
                <w:lang w:eastAsia="es-AR"/>
              </w:rPr>
            </w:pPr>
            <w:r w:rsidRPr="009216F1">
              <w:rPr>
                <w:rFonts w:ascii="Calibri" w:hAnsi="Calibri" w:cs="Calibri"/>
                <w:b/>
                <w:bCs/>
                <w:color w:val="000000"/>
                <w:lang w:eastAsia="es-AR"/>
              </w:rPr>
              <w:t>S</w:t>
            </w:r>
          </w:p>
        </w:tc>
        <w:tc>
          <w:tcPr>
            <w:tcW w:w="68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9216F1" w:rsidRDefault="007C0DA9" w:rsidP="009260E3">
            <w:pPr>
              <w:jc w:val="center"/>
              <w:rPr>
                <w:rFonts w:ascii="Calibri" w:hAnsi="Calibri" w:cs="Calibri"/>
                <w:b/>
                <w:bCs/>
                <w:color w:val="000000"/>
                <w:lang w:eastAsia="es-AR"/>
              </w:rPr>
            </w:pPr>
            <w:r w:rsidRPr="009216F1">
              <w:rPr>
                <w:rFonts w:ascii="Calibri" w:hAnsi="Calibri" w:cs="Calibri"/>
                <w:b/>
                <w:bCs/>
                <w:color w:val="000000"/>
                <w:lang w:eastAsia="es-AR"/>
              </w:rPr>
              <w:t>M</w:t>
            </w:r>
          </w:p>
        </w:tc>
        <w:tc>
          <w:tcPr>
            <w:tcW w:w="68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9216F1" w:rsidRDefault="007C0DA9" w:rsidP="009260E3">
            <w:pPr>
              <w:jc w:val="center"/>
              <w:rPr>
                <w:rFonts w:ascii="Calibri" w:hAnsi="Calibri" w:cs="Calibri"/>
                <w:b/>
                <w:bCs/>
                <w:color w:val="000000"/>
                <w:lang w:eastAsia="es-AR"/>
              </w:rPr>
            </w:pPr>
            <w:r w:rsidRPr="009216F1">
              <w:rPr>
                <w:rFonts w:ascii="Calibri" w:hAnsi="Calibri" w:cs="Calibri"/>
                <w:b/>
                <w:bCs/>
                <w:color w:val="000000"/>
                <w:lang w:eastAsia="es-AR"/>
              </w:rPr>
              <w:t>P</w:t>
            </w:r>
          </w:p>
        </w:tc>
        <w:tc>
          <w:tcPr>
            <w:tcW w:w="1499"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9216F1" w:rsidRDefault="007C0DA9" w:rsidP="009260E3">
            <w:pPr>
              <w:jc w:val="center"/>
              <w:rPr>
                <w:rFonts w:ascii="Calibri" w:hAnsi="Calibri" w:cs="Calibri"/>
                <w:b/>
                <w:bCs/>
                <w:color w:val="000000"/>
                <w:lang w:eastAsia="es-AR"/>
              </w:rPr>
            </w:pPr>
            <w:r w:rsidRPr="009216F1">
              <w:rPr>
                <w:rFonts w:ascii="Calibri" w:hAnsi="Calibri" w:cs="Calibri"/>
                <w:b/>
                <w:bCs/>
                <w:color w:val="000000"/>
                <w:lang w:eastAsia="es-AR"/>
              </w:rPr>
              <w:t>S-M-P</w:t>
            </w:r>
          </w:p>
        </w:tc>
        <w:tc>
          <w:tcPr>
            <w:tcW w:w="4441"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9216F1" w:rsidRDefault="007C0DA9" w:rsidP="009260E3">
            <w:pPr>
              <w:jc w:val="center"/>
              <w:rPr>
                <w:rFonts w:ascii="Calibri" w:hAnsi="Calibri" w:cs="Calibri"/>
                <w:b/>
                <w:bCs/>
                <w:color w:val="000000"/>
                <w:lang w:eastAsia="es-AR"/>
              </w:rPr>
            </w:pPr>
            <w:r w:rsidRPr="009216F1">
              <w:rPr>
                <w:rFonts w:ascii="Calibri" w:hAnsi="Calibri" w:cs="Calibri"/>
                <w:b/>
                <w:bCs/>
                <w:color w:val="000000"/>
                <w:lang w:eastAsia="es-AR"/>
              </w:rPr>
              <w:t>DIRECCIÓN</w:t>
            </w:r>
          </w:p>
        </w:tc>
      </w:tr>
      <w:tr w:rsidR="007C0DA9" w:rsidRPr="009216F1" w:rsidTr="009260E3">
        <w:trPr>
          <w:trHeight w:val="300"/>
        </w:trPr>
        <w:tc>
          <w:tcPr>
            <w:tcW w:w="680" w:type="dxa"/>
            <w:tcBorders>
              <w:top w:val="nil"/>
              <w:left w:val="nil"/>
              <w:bottom w:val="nil"/>
              <w:right w:val="nil"/>
            </w:tcBorders>
            <w:shd w:val="clear" w:color="000000" w:fill="FFFFFF"/>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 </w:t>
            </w:r>
          </w:p>
        </w:tc>
        <w:tc>
          <w:tcPr>
            <w:tcW w:w="680" w:type="dxa"/>
            <w:tcBorders>
              <w:top w:val="nil"/>
              <w:left w:val="nil"/>
              <w:bottom w:val="nil"/>
              <w:right w:val="nil"/>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p>
        </w:tc>
        <w:tc>
          <w:tcPr>
            <w:tcW w:w="680" w:type="dxa"/>
            <w:tcBorders>
              <w:top w:val="nil"/>
              <w:left w:val="nil"/>
              <w:bottom w:val="nil"/>
              <w:right w:val="nil"/>
            </w:tcBorders>
            <w:shd w:val="clear" w:color="auto" w:fill="auto"/>
            <w:noWrap/>
            <w:vAlign w:val="center"/>
            <w:hideMark/>
          </w:tcPr>
          <w:p w:rsidR="007C0DA9" w:rsidRPr="009216F1" w:rsidRDefault="007C0DA9" w:rsidP="009260E3">
            <w:pPr>
              <w:jc w:val="center"/>
              <w:rPr>
                <w:sz w:val="20"/>
                <w:szCs w:val="20"/>
                <w:lang w:eastAsia="es-AR"/>
              </w:rPr>
            </w:pPr>
          </w:p>
        </w:tc>
        <w:tc>
          <w:tcPr>
            <w:tcW w:w="1499" w:type="dxa"/>
            <w:tcBorders>
              <w:top w:val="nil"/>
              <w:left w:val="nil"/>
              <w:bottom w:val="nil"/>
              <w:right w:val="nil"/>
            </w:tcBorders>
            <w:shd w:val="clear" w:color="000000" w:fill="FFFFFF"/>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 </w:t>
            </w:r>
          </w:p>
        </w:tc>
        <w:tc>
          <w:tcPr>
            <w:tcW w:w="4441" w:type="dxa"/>
            <w:tcBorders>
              <w:top w:val="nil"/>
              <w:left w:val="nil"/>
              <w:bottom w:val="nil"/>
              <w:right w:val="nil"/>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 </w:t>
            </w:r>
          </w:p>
        </w:tc>
      </w:tr>
      <w:tr w:rsidR="007C0DA9" w:rsidRPr="009216F1" w:rsidTr="009260E3">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031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004</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029-031-004</w:t>
            </w:r>
          </w:p>
        </w:tc>
        <w:tc>
          <w:tcPr>
            <w:tcW w:w="4441" w:type="dxa"/>
            <w:tcBorders>
              <w:top w:val="single" w:sz="4" w:space="0" w:color="auto"/>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BESARES 2138/2142</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033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023</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029-033-023</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RUIZ HUIDOBRO 2115/2119 - ARCOS 4202/4206</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034</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001b</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029-034-001b</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RAMALLO 2116</w:t>
            </w:r>
          </w:p>
        </w:tc>
      </w:tr>
      <w:tr w:rsidR="007C0DA9" w:rsidRPr="009216F1"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044</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032</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029-044-032</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O´HIGGINS 4090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001c</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029-045-001c</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RUIZ HUIDOBRO 2010/2012 ESQ. O´HIGGINS</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001e</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029-045-001e</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RUIZ HUIDOBRO 2016/2020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002a</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029-045-002a</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RUIZ HUIDOBRO 2040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008k</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029-045-008k</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BESARES 2081/2085</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008l</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029-045-008l</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BESARES 2071/2073</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008m</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029-045-008m</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BESARES 2063/2065</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045</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008n</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029-045-008n</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BESARES 2037/2045</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001b</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029-046-001b</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2002/2016 ESQ. O´HIGGINS</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lastRenderedPageBreak/>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001c</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029-046-001c</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2026/2030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001d</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029-046-001d</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O´HIGGINS 4280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002</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029-046-002</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2044/2050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003</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029-046-003</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2074/2078</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004</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029-046-004</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2082/2084</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005a</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029-046-005a</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2088</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006</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029-046-006</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ARCOS 4287</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017a</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029-046-017a</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O´HIGGINS 4214</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018b</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029-046-018b</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O´HIGGINS 4220/4228</w:t>
            </w:r>
          </w:p>
        </w:tc>
      </w:tr>
      <w:tr w:rsidR="007C0DA9" w:rsidRPr="009216F1"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046</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020a</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029-046-020a</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O´HIGGINS 4254/4258</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002</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029-047-002</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RAMALLO 2010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003</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029-047-003</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RAMALLO 2044/2046</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004</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029-047-004</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RAMALLO 2050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005</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029-047-005</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RAMALLO 2060</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017</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029-047-017</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2083</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019</w:t>
            </w:r>
          </w:p>
        </w:tc>
        <w:tc>
          <w:tcPr>
            <w:tcW w:w="1499"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029-047-019</w:t>
            </w:r>
          </w:p>
        </w:tc>
        <w:tc>
          <w:tcPr>
            <w:tcW w:w="4441" w:type="dxa"/>
            <w:tcBorders>
              <w:top w:val="nil"/>
              <w:left w:val="nil"/>
              <w:bottom w:val="single" w:sz="4" w:space="0" w:color="auto"/>
              <w:right w:val="single" w:sz="4" w:space="0" w:color="auto"/>
            </w:tcBorders>
            <w:shd w:val="clear" w:color="000000" w:fill="FFFFFF"/>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2051/2053</w:t>
            </w:r>
          </w:p>
        </w:tc>
      </w:tr>
      <w:tr w:rsidR="007C0DA9" w:rsidRPr="009216F1"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9216F1" w:rsidRDefault="007C0DA9" w:rsidP="009260E3">
            <w:pPr>
              <w:jc w:val="center"/>
              <w:rPr>
                <w:rFonts w:ascii="Calibri" w:hAnsi="Calibri" w:cs="Calibri"/>
                <w:color w:val="000000"/>
                <w:lang w:eastAsia="es-AR"/>
              </w:rPr>
            </w:pPr>
            <w:r w:rsidRPr="009216F1">
              <w:rPr>
                <w:rFonts w:ascii="Calibri" w:hAnsi="Calibri" w:cs="Calibri"/>
                <w:color w:val="000000"/>
                <w:lang w:eastAsia="es-AR"/>
              </w:rPr>
              <w:t>020</w:t>
            </w:r>
          </w:p>
        </w:tc>
        <w:tc>
          <w:tcPr>
            <w:tcW w:w="1499"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029-047-020</w:t>
            </w:r>
          </w:p>
        </w:tc>
        <w:tc>
          <w:tcPr>
            <w:tcW w:w="4441" w:type="dxa"/>
            <w:tcBorders>
              <w:top w:val="nil"/>
              <w:left w:val="nil"/>
              <w:bottom w:val="single" w:sz="4" w:space="0" w:color="auto"/>
              <w:right w:val="single" w:sz="4" w:space="0" w:color="auto"/>
            </w:tcBorders>
            <w:shd w:val="clear" w:color="auto" w:fill="auto"/>
            <w:noWrap/>
            <w:vAlign w:val="bottom"/>
            <w:hideMark/>
          </w:tcPr>
          <w:p w:rsidR="007C0DA9" w:rsidRPr="009216F1" w:rsidRDefault="007C0DA9" w:rsidP="009260E3">
            <w:pPr>
              <w:rPr>
                <w:rFonts w:ascii="Calibri" w:hAnsi="Calibri" w:cs="Calibri"/>
                <w:color w:val="000000"/>
                <w:lang w:eastAsia="es-AR"/>
              </w:rPr>
            </w:pPr>
            <w:r w:rsidRPr="009216F1">
              <w:rPr>
                <w:rFonts w:ascii="Calibri" w:hAnsi="Calibri" w:cs="Calibri"/>
                <w:color w:val="000000"/>
                <w:lang w:eastAsia="es-AR"/>
              </w:rPr>
              <w:t>CORREA 2033/2035</w:t>
            </w:r>
          </w:p>
        </w:tc>
      </w:tr>
    </w:tbl>
    <w:p w:rsidR="007C0DA9" w:rsidRDefault="007C0DA9" w:rsidP="007C0DA9">
      <w:pPr>
        <w:autoSpaceDE w:val="0"/>
        <w:autoSpaceDN w:val="0"/>
        <w:adjustRightInd w:val="0"/>
        <w:rPr>
          <w:rFonts w:cstheme="minorHAnsi"/>
        </w:rPr>
      </w:pPr>
    </w:p>
    <w:tbl>
      <w:tblPr>
        <w:tblW w:w="7980" w:type="dxa"/>
        <w:tblCellMar>
          <w:left w:w="70" w:type="dxa"/>
          <w:right w:w="70" w:type="dxa"/>
        </w:tblCellMar>
        <w:tblLook w:val="04A0"/>
      </w:tblPr>
      <w:tblGrid>
        <w:gridCol w:w="680"/>
        <w:gridCol w:w="680"/>
        <w:gridCol w:w="680"/>
        <w:gridCol w:w="1400"/>
        <w:gridCol w:w="4540"/>
      </w:tblGrid>
      <w:tr w:rsidR="007C0DA9" w:rsidRPr="00BB077C" w:rsidTr="009260E3">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0DA9" w:rsidRPr="00BB077C" w:rsidRDefault="007C0DA9" w:rsidP="009260E3">
            <w:pPr>
              <w:jc w:val="center"/>
              <w:rPr>
                <w:rFonts w:ascii="Calibri" w:hAnsi="Calibri" w:cs="Calibri"/>
                <w:b/>
                <w:bCs/>
                <w:color w:val="000000"/>
                <w:lang w:eastAsia="es-AR"/>
              </w:rPr>
            </w:pPr>
            <w:r w:rsidRPr="00BB077C">
              <w:rPr>
                <w:rFonts w:ascii="Calibri" w:hAnsi="Calibri" w:cs="Calibri"/>
                <w:b/>
                <w:bCs/>
                <w:color w:val="000000"/>
                <w:lang w:eastAsia="es-AR"/>
              </w:rPr>
              <w:t>S</w:t>
            </w:r>
          </w:p>
        </w:tc>
        <w:tc>
          <w:tcPr>
            <w:tcW w:w="68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BB077C" w:rsidRDefault="007C0DA9" w:rsidP="009260E3">
            <w:pPr>
              <w:jc w:val="center"/>
              <w:rPr>
                <w:rFonts w:ascii="Calibri" w:hAnsi="Calibri" w:cs="Calibri"/>
                <w:b/>
                <w:bCs/>
                <w:color w:val="000000"/>
                <w:lang w:eastAsia="es-AR"/>
              </w:rPr>
            </w:pPr>
            <w:r w:rsidRPr="00BB077C">
              <w:rPr>
                <w:rFonts w:ascii="Calibri" w:hAnsi="Calibri" w:cs="Calibri"/>
                <w:b/>
                <w:bCs/>
                <w:color w:val="000000"/>
                <w:lang w:eastAsia="es-AR"/>
              </w:rPr>
              <w:t>M</w:t>
            </w:r>
          </w:p>
        </w:tc>
        <w:tc>
          <w:tcPr>
            <w:tcW w:w="68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BB077C" w:rsidRDefault="007C0DA9" w:rsidP="009260E3">
            <w:pPr>
              <w:jc w:val="center"/>
              <w:rPr>
                <w:rFonts w:ascii="Calibri" w:hAnsi="Calibri" w:cs="Calibri"/>
                <w:b/>
                <w:bCs/>
                <w:color w:val="000000"/>
                <w:lang w:eastAsia="es-AR"/>
              </w:rPr>
            </w:pPr>
            <w:r w:rsidRPr="00BB077C">
              <w:rPr>
                <w:rFonts w:ascii="Calibri" w:hAnsi="Calibri" w:cs="Calibri"/>
                <w:b/>
                <w:bCs/>
                <w:color w:val="000000"/>
                <w:lang w:eastAsia="es-AR"/>
              </w:rPr>
              <w:t>P</w:t>
            </w:r>
          </w:p>
        </w:tc>
        <w:tc>
          <w:tcPr>
            <w:tcW w:w="140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BB077C" w:rsidRDefault="007C0DA9" w:rsidP="009260E3">
            <w:pPr>
              <w:jc w:val="center"/>
              <w:rPr>
                <w:rFonts w:ascii="Calibri" w:hAnsi="Calibri" w:cs="Calibri"/>
                <w:b/>
                <w:bCs/>
                <w:color w:val="000000"/>
                <w:lang w:eastAsia="es-AR"/>
              </w:rPr>
            </w:pPr>
            <w:r w:rsidRPr="00BB077C">
              <w:rPr>
                <w:rFonts w:ascii="Calibri" w:hAnsi="Calibri" w:cs="Calibri"/>
                <w:b/>
                <w:bCs/>
                <w:color w:val="000000"/>
                <w:lang w:eastAsia="es-AR"/>
              </w:rPr>
              <w:t>S-M-P</w:t>
            </w:r>
          </w:p>
        </w:tc>
        <w:tc>
          <w:tcPr>
            <w:tcW w:w="4540" w:type="dxa"/>
            <w:tcBorders>
              <w:top w:val="single" w:sz="4" w:space="0" w:color="auto"/>
              <w:left w:val="nil"/>
              <w:bottom w:val="single" w:sz="4" w:space="0" w:color="auto"/>
              <w:right w:val="single" w:sz="4" w:space="0" w:color="auto"/>
            </w:tcBorders>
            <w:shd w:val="clear" w:color="000000" w:fill="D9D9D9"/>
            <w:noWrap/>
            <w:vAlign w:val="center"/>
            <w:hideMark/>
          </w:tcPr>
          <w:p w:rsidR="007C0DA9" w:rsidRPr="00BB077C" w:rsidRDefault="007C0DA9" w:rsidP="009260E3">
            <w:pPr>
              <w:jc w:val="center"/>
              <w:rPr>
                <w:rFonts w:ascii="Calibri" w:hAnsi="Calibri" w:cs="Calibri"/>
                <w:b/>
                <w:bCs/>
                <w:color w:val="000000"/>
                <w:lang w:eastAsia="es-AR"/>
              </w:rPr>
            </w:pPr>
            <w:r w:rsidRPr="00BB077C">
              <w:rPr>
                <w:rFonts w:ascii="Calibri" w:hAnsi="Calibri" w:cs="Calibri"/>
                <w:b/>
                <w:bCs/>
                <w:color w:val="000000"/>
                <w:lang w:eastAsia="es-AR"/>
              </w:rPr>
              <w:t>DIRECCIÓN</w:t>
            </w:r>
          </w:p>
        </w:tc>
      </w:tr>
      <w:tr w:rsidR="007C0DA9" w:rsidRPr="00BB077C" w:rsidTr="009260E3">
        <w:trPr>
          <w:trHeight w:val="300"/>
        </w:trPr>
        <w:tc>
          <w:tcPr>
            <w:tcW w:w="680" w:type="dxa"/>
            <w:tcBorders>
              <w:top w:val="nil"/>
              <w:left w:val="nil"/>
              <w:bottom w:val="nil"/>
              <w:right w:val="nil"/>
            </w:tcBorders>
            <w:shd w:val="clear" w:color="000000" w:fill="FFFFFF"/>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 </w:t>
            </w:r>
          </w:p>
        </w:tc>
        <w:tc>
          <w:tcPr>
            <w:tcW w:w="680" w:type="dxa"/>
            <w:tcBorders>
              <w:top w:val="nil"/>
              <w:left w:val="nil"/>
              <w:bottom w:val="nil"/>
              <w:right w:val="nil"/>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p>
        </w:tc>
        <w:tc>
          <w:tcPr>
            <w:tcW w:w="680" w:type="dxa"/>
            <w:tcBorders>
              <w:top w:val="nil"/>
              <w:left w:val="nil"/>
              <w:bottom w:val="nil"/>
              <w:right w:val="nil"/>
            </w:tcBorders>
            <w:shd w:val="clear" w:color="auto" w:fill="auto"/>
            <w:noWrap/>
            <w:vAlign w:val="center"/>
            <w:hideMark/>
          </w:tcPr>
          <w:p w:rsidR="007C0DA9" w:rsidRPr="00BB077C" w:rsidRDefault="007C0DA9" w:rsidP="009260E3">
            <w:pPr>
              <w:jc w:val="center"/>
              <w:rPr>
                <w:sz w:val="20"/>
                <w:szCs w:val="20"/>
                <w:lang w:eastAsia="es-AR"/>
              </w:rPr>
            </w:pPr>
          </w:p>
        </w:tc>
        <w:tc>
          <w:tcPr>
            <w:tcW w:w="1400" w:type="dxa"/>
            <w:tcBorders>
              <w:top w:val="nil"/>
              <w:left w:val="nil"/>
              <w:bottom w:val="nil"/>
              <w:right w:val="nil"/>
            </w:tcBorders>
            <w:shd w:val="clear" w:color="000000" w:fill="FFFFFF"/>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 </w:t>
            </w:r>
          </w:p>
        </w:tc>
        <w:tc>
          <w:tcPr>
            <w:tcW w:w="4540" w:type="dxa"/>
            <w:tcBorders>
              <w:top w:val="nil"/>
              <w:left w:val="nil"/>
              <w:bottom w:val="nil"/>
              <w:right w:val="nil"/>
            </w:tcBorders>
            <w:shd w:val="clear" w:color="000000" w:fill="FFFFFF"/>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 </w:t>
            </w:r>
          </w:p>
        </w:tc>
      </w:tr>
      <w:tr w:rsidR="007C0DA9" w:rsidRPr="00BB077C" w:rsidTr="009260E3">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047</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024</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029-047-024</w:t>
            </w:r>
          </w:p>
        </w:tc>
        <w:tc>
          <w:tcPr>
            <w:tcW w:w="4540" w:type="dxa"/>
            <w:tcBorders>
              <w:top w:val="single" w:sz="4" w:space="0" w:color="auto"/>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O´HIGGINS 4332/4336</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025</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029-047-025</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O´HIGGINS 4342/4344</w:t>
            </w:r>
          </w:p>
        </w:tc>
      </w:tr>
      <w:tr w:rsidR="007C0DA9" w:rsidRPr="00BB077C"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047</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027</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029-047-027</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O´HIGGINS 4366/4368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008</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029-048-008</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ARCOS 4469/4473</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010</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029-048-010</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ARCOS 4449</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015</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029-048-015</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RAMALLO 2065</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016</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029-048-016</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RAMALLO 2041/2045</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017a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029-048-017a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RAMALLO 2023/2027</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021a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029-048-021a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 HIGGINS 4446/4452/4470  y  ARIAS 2036</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048</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024</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lang w:eastAsia="es-AR"/>
              </w:rPr>
            </w:pPr>
            <w:r w:rsidRPr="00BB077C">
              <w:rPr>
                <w:rFonts w:ascii="Calibri" w:hAnsi="Calibri" w:cs="Calibri"/>
                <w:lang w:eastAsia="es-AR"/>
              </w:rPr>
              <w:t>029-048-024</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lang w:eastAsia="es-AR"/>
              </w:rPr>
            </w:pPr>
            <w:r w:rsidRPr="00BB077C">
              <w:rPr>
                <w:rFonts w:ascii="Calibri" w:hAnsi="Calibri" w:cs="Calibri"/>
                <w:lang w:eastAsia="es-AR"/>
              </w:rPr>
              <w:t>O' HIGGINS 4480/4488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049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006</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029-049-006</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 HIGGINS 4556/4558/4560</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050</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004</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029-050-004</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PICO 2050</w:t>
            </w:r>
          </w:p>
        </w:tc>
      </w:tr>
      <w:tr w:rsidR="007C0DA9" w:rsidRPr="00BB077C"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050</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020c</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029-050-020c</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 HIGGINS 4650/4654</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051</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005</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029-051-005</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VEDIA 2048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051</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006</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029-051-006</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VEDIA 2058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051</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021a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029-051-021a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 HIGGINS 4728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060</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012</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029-060-012</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O' HIGGINS 4345/4349</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002a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029-063-002a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PICO 1920/1918</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016a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029-063-016a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DEHEZA 1947/1955</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019</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029-063-019</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4636/4640</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020</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029-063-020</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4650</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021</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029-063-021</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4668</w:t>
            </w:r>
          </w:p>
        </w:tc>
      </w:tr>
      <w:tr w:rsidR="007C0DA9" w:rsidRPr="00BB077C"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lastRenderedPageBreak/>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063</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022a</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029-063-022a</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4680</w:t>
            </w:r>
          </w:p>
        </w:tc>
      </w:tr>
      <w:tr w:rsidR="007C0DA9" w:rsidRPr="00BB077C" w:rsidTr="009260E3">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064</w:t>
            </w:r>
          </w:p>
        </w:tc>
        <w:tc>
          <w:tcPr>
            <w:tcW w:w="680" w:type="dxa"/>
            <w:tcBorders>
              <w:top w:val="nil"/>
              <w:left w:val="nil"/>
              <w:bottom w:val="single" w:sz="4" w:space="0" w:color="auto"/>
              <w:right w:val="single" w:sz="4" w:space="0" w:color="auto"/>
            </w:tcBorders>
            <w:shd w:val="clear" w:color="auto" w:fill="auto"/>
            <w:noWrap/>
            <w:vAlign w:val="center"/>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017</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029-064-017</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4770</w:t>
            </w:r>
          </w:p>
        </w:tc>
      </w:tr>
      <w:tr w:rsidR="007C0DA9" w:rsidRPr="00BB077C" w:rsidTr="009260E3">
        <w:trPr>
          <w:trHeight w:val="31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029</w:t>
            </w:r>
          </w:p>
        </w:tc>
        <w:tc>
          <w:tcPr>
            <w:tcW w:w="68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064</w:t>
            </w:r>
          </w:p>
        </w:tc>
        <w:tc>
          <w:tcPr>
            <w:tcW w:w="68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jc w:val="center"/>
              <w:rPr>
                <w:rFonts w:ascii="Calibri" w:hAnsi="Calibri" w:cs="Calibri"/>
                <w:color w:val="000000"/>
                <w:lang w:eastAsia="es-AR"/>
              </w:rPr>
            </w:pPr>
            <w:r w:rsidRPr="00BB077C">
              <w:rPr>
                <w:rFonts w:ascii="Calibri" w:hAnsi="Calibri" w:cs="Calibri"/>
                <w:color w:val="000000"/>
                <w:lang w:eastAsia="es-AR"/>
              </w:rPr>
              <w:t>018</w:t>
            </w:r>
          </w:p>
        </w:tc>
        <w:tc>
          <w:tcPr>
            <w:tcW w:w="140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029-064-018</w:t>
            </w:r>
          </w:p>
        </w:tc>
        <w:tc>
          <w:tcPr>
            <w:tcW w:w="4540" w:type="dxa"/>
            <w:tcBorders>
              <w:top w:val="nil"/>
              <w:left w:val="nil"/>
              <w:bottom w:val="single" w:sz="4" w:space="0" w:color="auto"/>
              <w:right w:val="single" w:sz="4" w:space="0" w:color="auto"/>
            </w:tcBorders>
            <w:shd w:val="clear" w:color="auto" w:fill="auto"/>
            <w:noWrap/>
            <w:vAlign w:val="bottom"/>
            <w:hideMark/>
          </w:tcPr>
          <w:p w:rsidR="007C0DA9" w:rsidRPr="00BB077C" w:rsidRDefault="007C0DA9" w:rsidP="009260E3">
            <w:pPr>
              <w:rPr>
                <w:rFonts w:ascii="Calibri" w:hAnsi="Calibri" w:cs="Calibri"/>
                <w:color w:val="000000"/>
                <w:lang w:eastAsia="es-AR"/>
              </w:rPr>
            </w:pPr>
            <w:r w:rsidRPr="00BB077C">
              <w:rPr>
                <w:rFonts w:ascii="Calibri" w:hAnsi="Calibri" w:cs="Calibri"/>
                <w:color w:val="000000"/>
                <w:lang w:eastAsia="es-AR"/>
              </w:rPr>
              <w:t>GRECIA 4786</w:t>
            </w:r>
          </w:p>
        </w:tc>
      </w:tr>
    </w:tbl>
    <w:p w:rsidR="007C0DA9" w:rsidRDefault="007C0DA9" w:rsidP="007C0DA9">
      <w:pPr>
        <w:autoSpaceDE w:val="0"/>
        <w:autoSpaceDN w:val="0"/>
        <w:adjustRightInd w:val="0"/>
        <w:rPr>
          <w:rFonts w:cstheme="minorHAnsi"/>
        </w:rPr>
      </w:pPr>
    </w:p>
    <w:p w:rsidR="007C0DA9" w:rsidRPr="00DB26AC" w:rsidRDefault="007C0DA9" w:rsidP="007C0DA9">
      <w:pPr>
        <w:autoSpaceDE w:val="0"/>
        <w:autoSpaceDN w:val="0"/>
        <w:adjustRightInd w:val="0"/>
        <w:rPr>
          <w:rFonts w:cstheme="minorHAnsi"/>
        </w:rPr>
      </w:pPr>
      <w:r w:rsidRPr="00DB26AC">
        <w:rPr>
          <w:rFonts w:cstheme="minorHAnsi"/>
        </w:rPr>
        <w:t xml:space="preserve">7.2 AE31) Espacios libres parquizados:  </w:t>
      </w:r>
    </w:p>
    <w:p w:rsidR="007C0DA9" w:rsidRPr="00DB26AC" w:rsidRDefault="007C0DA9" w:rsidP="007C0DA9">
      <w:pPr>
        <w:autoSpaceDE w:val="0"/>
        <w:autoSpaceDN w:val="0"/>
        <w:adjustRightInd w:val="0"/>
        <w:rPr>
          <w:rFonts w:cstheme="minorHAnsi"/>
        </w:rPr>
      </w:pPr>
      <w:r w:rsidRPr="00DB26AC">
        <w:rPr>
          <w:rFonts w:cstheme="minorHAnsi"/>
        </w:rPr>
        <w:t xml:space="preserve">Los propietarios de parcelas en las cuales se hallen ejemplares conspicuos de árboles y arbustos, en el espacio libre de manzana y/o retiros obligatorios, deben proveer a su conservación pudiendo requerir a esos efectos el asesoramiento del organismo competente en materia de arbolado público. </w:t>
      </w:r>
    </w:p>
    <w:p w:rsidR="007C0DA9" w:rsidRPr="00703C21" w:rsidRDefault="007C0DA9" w:rsidP="007C0DA9">
      <w:pPr>
        <w:autoSpaceDE w:val="0"/>
        <w:autoSpaceDN w:val="0"/>
        <w:adjustRightInd w:val="0"/>
        <w:rPr>
          <w:rFonts w:cstheme="minorHAnsi"/>
        </w:rPr>
      </w:pPr>
    </w:p>
    <w:p w:rsidR="007C0DA9" w:rsidRDefault="007C0DA9" w:rsidP="007C0DA9">
      <w:pPr>
        <w:autoSpaceDE w:val="0"/>
        <w:autoSpaceDN w:val="0"/>
        <w:adjustRightInd w:val="0"/>
        <w:rPr>
          <w:rFonts w:cstheme="minorHAnsi"/>
        </w:rPr>
      </w:pPr>
    </w:p>
    <w:p w:rsidR="007C0DA9" w:rsidRDefault="007C0DA9" w:rsidP="007C0DA9">
      <w:pPr>
        <w:autoSpaceDE w:val="0"/>
        <w:autoSpaceDN w:val="0"/>
        <w:adjustRightInd w:val="0"/>
        <w:rPr>
          <w:rFonts w:cstheme="minorHAnsi"/>
        </w:rPr>
      </w:pPr>
    </w:p>
    <w:p w:rsidR="007C0DA9" w:rsidRDefault="007C0DA9" w:rsidP="007C0DA9">
      <w:pPr>
        <w:autoSpaceDE w:val="0"/>
        <w:autoSpaceDN w:val="0"/>
        <w:adjustRightInd w:val="0"/>
        <w:rPr>
          <w:rFonts w:cstheme="minorHAnsi"/>
        </w:rPr>
      </w:pPr>
    </w:p>
    <w:p w:rsidR="007C0DA9" w:rsidRDefault="007C0DA9" w:rsidP="007C0DA9">
      <w:pPr>
        <w:jc w:val="center"/>
        <w:rPr>
          <w:rFonts w:cstheme="minorHAnsi"/>
          <w:b/>
          <w:sz w:val="28"/>
          <w:u w:val="single"/>
        </w:rPr>
      </w:pPr>
      <w:r w:rsidRPr="008857F5">
        <w:rPr>
          <w:rFonts w:cstheme="minorHAnsi"/>
          <w:b/>
          <w:sz w:val="28"/>
          <w:u w:val="single"/>
        </w:rPr>
        <w:t xml:space="preserve">ANEXO </w:t>
      </w:r>
      <w:r>
        <w:rPr>
          <w:rFonts w:cstheme="minorHAnsi"/>
          <w:b/>
          <w:sz w:val="28"/>
          <w:u w:val="single"/>
        </w:rPr>
        <w:t>I</w:t>
      </w:r>
      <w:r w:rsidRPr="008857F5">
        <w:rPr>
          <w:rFonts w:cstheme="minorHAnsi"/>
          <w:b/>
          <w:sz w:val="28"/>
          <w:u w:val="single"/>
        </w:rPr>
        <w:t>I</w:t>
      </w:r>
    </w:p>
    <w:p w:rsidR="007C0DA9" w:rsidRPr="008857F5" w:rsidRDefault="007C0DA9" w:rsidP="007C0DA9">
      <w:pPr>
        <w:jc w:val="center"/>
        <w:rPr>
          <w:rFonts w:cstheme="minorHAnsi"/>
          <w:b/>
          <w:sz w:val="28"/>
        </w:rPr>
      </w:pPr>
      <w:r>
        <w:rPr>
          <w:rFonts w:cstheme="minorHAnsi"/>
          <w:b/>
          <w:sz w:val="28"/>
          <w:u w:val="single"/>
        </w:rPr>
        <w:t>PLANO Nº 4.1.25</w:t>
      </w:r>
    </w:p>
    <w:p w:rsidR="007C0DA9" w:rsidRPr="008857F5" w:rsidRDefault="007C0DA9" w:rsidP="007C0DA9">
      <w:pPr>
        <w:jc w:val="center"/>
        <w:rPr>
          <w:rFonts w:cstheme="minorHAnsi"/>
          <w:b/>
          <w:sz w:val="28"/>
          <w:u w:val="single"/>
        </w:rPr>
      </w:pPr>
      <w:r w:rsidRPr="004A2681">
        <w:rPr>
          <w:rFonts w:cstheme="minorHAnsi"/>
          <w:b/>
          <w:noProof/>
          <w:sz w:val="28"/>
          <w:lang w:val="es-ES"/>
        </w:rPr>
        <w:drawing>
          <wp:inline distT="0" distB="0" distL="0" distR="0">
            <wp:extent cx="6806230" cy="4810851"/>
            <wp:effectExtent l="0" t="5715"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2.03.18 _LOMAS DE NUÑEZ - PLANO ANEXO.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6200000">
                      <a:off x="0" y="0"/>
                      <a:ext cx="6824149" cy="4823517"/>
                    </a:xfrm>
                    <a:prstGeom prst="rect">
                      <a:avLst/>
                    </a:prstGeom>
                  </pic:spPr>
                </pic:pic>
              </a:graphicData>
            </a:graphic>
          </wp:inline>
        </w:drawing>
      </w:r>
    </w:p>
    <w:p w:rsidR="0060434C" w:rsidRDefault="0060434C" w:rsidP="0060434C">
      <w:pPr>
        <w:jc w:val="left"/>
      </w:pPr>
    </w:p>
    <w:p w:rsidR="0060434C" w:rsidRDefault="0060434C" w:rsidP="0060434C">
      <w:pPr>
        <w:jc w:val="left"/>
      </w:pPr>
    </w:p>
    <w:p w:rsidR="0060434C" w:rsidRDefault="0060434C" w:rsidP="0060434C">
      <w:pPr>
        <w:jc w:val="center"/>
        <w:rPr>
          <w:b/>
        </w:rPr>
      </w:pPr>
      <w:r>
        <w:rPr>
          <w:b/>
        </w:rPr>
        <w:t>FUNDAMENTOS</w:t>
      </w:r>
    </w:p>
    <w:p w:rsidR="0060434C" w:rsidRDefault="0060434C" w:rsidP="0060434C">
      <w:pPr>
        <w:jc w:val="left"/>
        <w:rPr>
          <w:b/>
        </w:rPr>
      </w:pPr>
    </w:p>
    <w:p w:rsidR="00964F18" w:rsidRPr="00964F18" w:rsidRDefault="00964F18" w:rsidP="00964F18">
      <w:pPr>
        <w:spacing w:before="240" w:after="240"/>
        <w:rPr>
          <w:lang w:val="es-AR" w:eastAsia="es-ES_tradnl"/>
        </w:rPr>
      </w:pPr>
      <w:r w:rsidRPr="00964F18">
        <w:rPr>
          <w:color w:val="000000"/>
          <w:lang w:val="es-AR" w:eastAsia="es-ES_tradnl"/>
        </w:rPr>
        <w:t>Señor Presidente:</w:t>
      </w:r>
    </w:p>
    <w:p w:rsidR="00964F18" w:rsidRPr="00964F18" w:rsidRDefault="00964F18" w:rsidP="00964F18">
      <w:pPr>
        <w:spacing w:before="240" w:after="240"/>
        <w:rPr>
          <w:lang w:val="es-AR" w:eastAsia="es-ES_tradnl"/>
        </w:rPr>
      </w:pPr>
      <w:r w:rsidRPr="00964F18">
        <w:rPr>
          <w:color w:val="000000"/>
          <w:lang w:val="es-AR" w:eastAsia="es-ES_tradnl"/>
        </w:rPr>
        <w:t>El presente proyecto tiene como objetivo modificar la normativa urbanística de la Ciudad Autónoma de Buenos Aires para la conservación paisajística del polígono delimitado por las calles Vedia, las vías del FFCC Mitre, Vilela y Cuba, a partir de ahora Lomas de Núñez, que coincide con el R1b1 del anterior Código de Planeamiento Urbano.</w:t>
      </w:r>
    </w:p>
    <w:p w:rsidR="00964F18" w:rsidRPr="00964F18" w:rsidRDefault="00964F18" w:rsidP="00964F18">
      <w:pPr>
        <w:spacing w:before="240" w:after="240"/>
        <w:rPr>
          <w:lang w:val="es-AR" w:eastAsia="es-ES_tradnl"/>
        </w:rPr>
      </w:pPr>
      <w:r w:rsidRPr="00964F18">
        <w:rPr>
          <w:color w:val="000000"/>
          <w:lang w:val="es-AR" w:eastAsia="es-ES_tradnl"/>
        </w:rPr>
        <w:lastRenderedPageBreak/>
        <w:t>Dicho zona tiene su origen en el arduo trabajo realizado por Florencio Emeterio Núñez, quien, a principios de 1873 fo</w:t>
      </w:r>
      <w:r w:rsidR="005A5FA9">
        <w:rPr>
          <w:color w:val="000000"/>
          <w:lang w:val="es-AR" w:eastAsia="es-ES_tradnl"/>
        </w:rPr>
        <w:t>rmó la sociedad, "Núñez y Cía",</w:t>
      </w:r>
      <w:r w:rsidRPr="00964F18">
        <w:rPr>
          <w:color w:val="000000"/>
          <w:lang w:val="es-AR" w:eastAsia="es-ES_tradnl"/>
        </w:rPr>
        <w:t xml:space="preserve"> fundando el pueblo de Saavedra. El ingeniero Laurentino Sierra Carranza y al arquitecto Juan Antonio Buschiazzo, contratados po</w:t>
      </w:r>
      <w:r w:rsidR="005A5FA9">
        <w:rPr>
          <w:color w:val="000000"/>
          <w:lang w:val="es-AR" w:eastAsia="es-ES_tradnl"/>
        </w:rPr>
        <w:t>r la sociedad confeccionaron el</w:t>
      </w:r>
      <w:r w:rsidRPr="00964F18">
        <w:rPr>
          <w:color w:val="000000"/>
          <w:lang w:val="es-AR" w:eastAsia="es-ES_tradnl"/>
        </w:rPr>
        <w:t xml:space="preserve"> trazado de la nueva población.</w:t>
      </w:r>
    </w:p>
    <w:p w:rsidR="00964F18" w:rsidRPr="00964F18" w:rsidRDefault="00964F18" w:rsidP="00964F18">
      <w:pPr>
        <w:spacing w:before="240" w:after="240"/>
        <w:rPr>
          <w:lang w:val="es-AR" w:eastAsia="es-ES_tradnl"/>
        </w:rPr>
      </w:pPr>
      <w:r w:rsidRPr="00964F18">
        <w:rPr>
          <w:color w:val="000000"/>
          <w:lang w:val="es-AR" w:eastAsia="es-ES_tradnl"/>
        </w:rPr>
        <w:t>El polígono delimitado por la presente normativa, es una zona alta, con barrancas y lomadas que bajan en d</w:t>
      </w:r>
      <w:r w:rsidR="005A5FA9">
        <w:rPr>
          <w:color w:val="000000"/>
          <w:lang w:val="es-AR" w:eastAsia="es-ES_tradnl"/>
        </w:rPr>
        <w:t>irección al río, siendo su área</w:t>
      </w:r>
      <w:r w:rsidRPr="00964F18">
        <w:rPr>
          <w:color w:val="000000"/>
          <w:lang w:val="es-AR" w:eastAsia="es-ES_tradnl"/>
        </w:rPr>
        <w:t xml:space="preserve"> más alta la conformada en inmediaciones de la Av. Cabildo y la Av. General Paz descendiendo hacia el este y hacia el sur hacia el vértice conformado por la calle Vilela y las vías del ferrocarril B. Mitre. La zona presenta un profuso arbolado que también puede encontrarse en predios privados, herencia de las amplias q</w:t>
      </w:r>
      <w:r w:rsidR="005A5FA9">
        <w:rPr>
          <w:color w:val="000000"/>
          <w:lang w:val="es-AR" w:eastAsia="es-ES_tradnl"/>
        </w:rPr>
        <w:t>uintas que existían en la zona.</w:t>
      </w:r>
    </w:p>
    <w:p w:rsidR="00964F18" w:rsidRPr="00964F18" w:rsidRDefault="00964F18" w:rsidP="00964F18">
      <w:pPr>
        <w:spacing w:before="240" w:after="240"/>
        <w:rPr>
          <w:lang w:val="es-AR" w:eastAsia="es-ES_tradnl"/>
        </w:rPr>
      </w:pPr>
      <w:r w:rsidRPr="00964F18">
        <w:rPr>
          <w:color w:val="000000"/>
          <w:lang w:val="es-AR" w:eastAsia="es-ES_tradnl"/>
        </w:rPr>
        <w:t>Las</w:t>
      </w:r>
      <w:r w:rsidR="005A5FA9">
        <w:rPr>
          <w:color w:val="000000"/>
          <w:lang w:val="es-AR" w:eastAsia="es-ES_tradnl"/>
        </w:rPr>
        <w:t xml:space="preserve"> calles,</w:t>
      </w:r>
      <w:r w:rsidRPr="00964F18">
        <w:rPr>
          <w:color w:val="000000"/>
          <w:lang w:val="es-AR" w:eastAsia="es-ES_tradnl"/>
        </w:rPr>
        <w:t xml:space="preserve"> si bien conforman</w:t>
      </w:r>
      <w:r w:rsidR="005A5FA9">
        <w:rPr>
          <w:color w:val="000000"/>
          <w:lang w:val="es-AR" w:eastAsia="es-ES_tradnl"/>
        </w:rPr>
        <w:t xml:space="preserve"> la clásica cuadricula porteña,</w:t>
      </w:r>
      <w:r w:rsidRPr="00964F18">
        <w:rPr>
          <w:color w:val="000000"/>
          <w:lang w:val="es-AR" w:eastAsia="es-ES_tradnl"/>
        </w:rPr>
        <w:t xml:space="preserve"> delinea la geografía de la barranca que queda expuesta en la prolongación de la calle Arias entre O’Higgins y Grecia, donde la barranca da lugar a escalinatas rodeadas de espacio verde.</w:t>
      </w:r>
    </w:p>
    <w:p w:rsidR="00964F18" w:rsidRPr="00964F18" w:rsidRDefault="00964F18" w:rsidP="00964F18">
      <w:pPr>
        <w:spacing w:before="240" w:after="240"/>
        <w:rPr>
          <w:lang w:val="es-AR" w:eastAsia="es-ES_tradnl"/>
        </w:rPr>
      </w:pPr>
      <w:r w:rsidRPr="00964F18">
        <w:rPr>
          <w:color w:val="000000"/>
          <w:lang w:val="es-AR" w:eastAsia="es-ES_tradnl"/>
        </w:rPr>
        <w:t>La topografía, tan particular, también se halla al interior de las manzanas cuadrangulares siguiendo ambas diagonales.El paisaje urbano de este sector barrial no se replica con frecuencia en el resto de la ciudad.</w:t>
      </w:r>
    </w:p>
    <w:p w:rsidR="00964F18" w:rsidRPr="00964F18" w:rsidRDefault="00964F18" w:rsidP="00964F18">
      <w:pPr>
        <w:spacing w:before="240" w:after="240"/>
        <w:rPr>
          <w:lang w:val="es-AR" w:eastAsia="es-ES_tradnl"/>
        </w:rPr>
      </w:pPr>
      <w:r w:rsidRPr="00964F18">
        <w:rPr>
          <w:color w:val="000000"/>
          <w:lang w:val="es-AR" w:eastAsia="es-ES_tradnl"/>
        </w:rPr>
        <w:t>En este sentido, un grupo de vecinos manifestó la intención de contar con una normativa urbanística especial que se adaptara a sus características particulares a partir del pedido de una serie de modificaciones. </w:t>
      </w:r>
    </w:p>
    <w:p w:rsidR="00964F18" w:rsidRPr="00964F18" w:rsidRDefault="00964F18" w:rsidP="00964F18">
      <w:pPr>
        <w:spacing w:before="240" w:after="240"/>
        <w:rPr>
          <w:lang w:val="es-AR" w:eastAsia="es-ES_tradnl"/>
        </w:rPr>
      </w:pPr>
      <w:r w:rsidRPr="00964F18">
        <w:rPr>
          <w:color w:val="000000"/>
          <w:lang w:val="es-AR" w:eastAsia="es-ES_tradnl"/>
        </w:rPr>
        <w:t>Con este objetivo, el Área de Arquitectura Especial de Lomas de Núñez abarcará 36 manzanas y contará con: </w:t>
      </w:r>
    </w:p>
    <w:p w:rsidR="00964F18" w:rsidRPr="00964F18" w:rsidRDefault="00964F18" w:rsidP="00964F18">
      <w:pPr>
        <w:numPr>
          <w:ilvl w:val="0"/>
          <w:numId w:val="2"/>
        </w:numPr>
        <w:spacing w:before="240"/>
        <w:textAlignment w:val="baseline"/>
        <w:rPr>
          <w:color w:val="000000"/>
          <w:lang w:val="es-AR" w:eastAsia="es-ES_tradnl"/>
        </w:rPr>
      </w:pPr>
      <w:r w:rsidRPr="00964F18">
        <w:rPr>
          <w:color w:val="000000"/>
          <w:lang w:val="es-AR" w:eastAsia="es-ES_tradnl"/>
        </w:rPr>
        <w:t>Edificabilidad de Unidad de Sustentabilidad de Altura Baja de tipo 1, que habilita la construcción de edificios de una altura máxima de 9 metros, sin reti</w:t>
      </w:r>
      <w:r w:rsidR="00EF20E3">
        <w:rPr>
          <w:color w:val="000000"/>
          <w:lang w:val="es-AR" w:eastAsia="es-ES_tradnl"/>
        </w:rPr>
        <w:t>ros por sobre la altura máxima;</w:t>
      </w:r>
    </w:p>
    <w:p w:rsidR="00964F18" w:rsidRPr="00964F18" w:rsidRDefault="00964F18" w:rsidP="00964F18">
      <w:pPr>
        <w:numPr>
          <w:ilvl w:val="0"/>
          <w:numId w:val="2"/>
        </w:numPr>
        <w:textAlignment w:val="baseline"/>
        <w:rPr>
          <w:color w:val="000000"/>
          <w:lang w:val="es-AR" w:eastAsia="es-ES_tradnl"/>
        </w:rPr>
      </w:pPr>
      <w:r w:rsidRPr="00964F18">
        <w:rPr>
          <w:color w:val="000000"/>
          <w:lang w:val="es-AR" w:eastAsia="es-ES_tradnl"/>
        </w:rPr>
        <w:t xml:space="preserve">La conservación de la cota de barranca y un retiro de frente de 3 metros para mantener </w:t>
      </w:r>
      <w:r w:rsidR="00EF20E3">
        <w:rPr>
          <w:color w:val="000000"/>
          <w:lang w:val="es-AR" w:eastAsia="es-ES_tradnl"/>
        </w:rPr>
        <w:t>el entorno e identidad barrial;</w:t>
      </w:r>
    </w:p>
    <w:p w:rsidR="00964F18" w:rsidRPr="00964F18" w:rsidRDefault="00964F18" w:rsidP="00964F18">
      <w:pPr>
        <w:numPr>
          <w:ilvl w:val="0"/>
          <w:numId w:val="2"/>
        </w:numPr>
        <w:textAlignment w:val="baseline"/>
        <w:rPr>
          <w:color w:val="000000"/>
          <w:lang w:val="es-AR" w:eastAsia="es-ES_tradnl"/>
        </w:rPr>
      </w:pPr>
      <w:r w:rsidRPr="00964F18">
        <w:rPr>
          <w:color w:val="000000"/>
          <w:lang w:val="es-AR" w:eastAsia="es-ES_tradnl"/>
        </w:rPr>
        <w:t>Preservaci</w:t>
      </w:r>
      <w:r w:rsidR="00EF20E3">
        <w:rPr>
          <w:color w:val="000000"/>
          <w:lang w:val="es-AR" w:eastAsia="es-ES_tradnl"/>
        </w:rPr>
        <w:t>ón del Centro Libre de Manzana;</w:t>
      </w:r>
    </w:p>
    <w:p w:rsidR="00964F18" w:rsidRPr="00964F18" w:rsidRDefault="00964F18" w:rsidP="00964F18">
      <w:pPr>
        <w:numPr>
          <w:ilvl w:val="0"/>
          <w:numId w:val="2"/>
        </w:numPr>
        <w:textAlignment w:val="baseline"/>
        <w:rPr>
          <w:color w:val="000000"/>
          <w:lang w:val="es-AR" w:eastAsia="es-ES_tradnl"/>
        </w:rPr>
      </w:pPr>
      <w:r w:rsidRPr="00964F18">
        <w:rPr>
          <w:color w:val="000000"/>
          <w:lang w:val="es-AR" w:eastAsia="es-ES_tradnl"/>
        </w:rPr>
        <w:t>Asesoramiento para garantizar la protección de las especies arbóreas;</w:t>
      </w:r>
    </w:p>
    <w:p w:rsidR="00964F18" w:rsidRPr="00964F18" w:rsidRDefault="00964F18" w:rsidP="00964F18">
      <w:pPr>
        <w:numPr>
          <w:ilvl w:val="0"/>
          <w:numId w:val="2"/>
        </w:numPr>
        <w:spacing w:after="240"/>
        <w:textAlignment w:val="baseline"/>
        <w:rPr>
          <w:color w:val="000000"/>
          <w:lang w:val="es-AR" w:eastAsia="es-ES_tradnl"/>
        </w:rPr>
      </w:pPr>
      <w:r w:rsidRPr="00964F18">
        <w:rPr>
          <w:color w:val="000000"/>
          <w:lang w:val="es-AR" w:eastAsia="es-ES_tradnl"/>
        </w:rPr>
        <w:t>La prohibición de publicidad en la vía pública y la protección de inmuebles de valor histórico y patrimonial.</w:t>
      </w:r>
    </w:p>
    <w:p w:rsidR="00964F18" w:rsidRDefault="00964F18" w:rsidP="00964F18">
      <w:pPr>
        <w:spacing w:before="240" w:after="240"/>
        <w:rPr>
          <w:color w:val="000000"/>
          <w:lang w:val="es-AR" w:eastAsia="es-ES_tradnl"/>
        </w:rPr>
      </w:pPr>
      <w:r w:rsidRPr="00964F18">
        <w:rPr>
          <w:color w:val="000000"/>
          <w:lang w:val="es-AR" w:eastAsia="es-ES_tradnl"/>
        </w:rPr>
        <w:t xml:space="preserve">Esta iniciativa retoma el trabajo llevado </w:t>
      </w:r>
      <w:r w:rsidR="00EF20E3">
        <w:rPr>
          <w:color w:val="000000"/>
          <w:lang w:val="es-AR" w:eastAsia="es-ES_tradnl"/>
        </w:rPr>
        <w:t xml:space="preserve">a cabo </w:t>
      </w:r>
      <w:r w:rsidRPr="00964F18">
        <w:rPr>
          <w:color w:val="000000"/>
          <w:lang w:val="es-AR" w:eastAsia="es-ES_tradnl"/>
        </w:rPr>
        <w:t xml:space="preserve">estos últimos años en materia de política urbana. </w:t>
      </w:r>
      <w:r>
        <w:rPr>
          <w:color w:val="000000"/>
          <w:lang w:val="es-AR" w:eastAsia="es-ES_tradnl"/>
        </w:rPr>
        <w:t xml:space="preserve">Este proyecto implicó un vasto trabajo del Poder Ejecutivo con relevamientos y un estudio minucioso del área para garantizar la conservación necesaria para el polígono. Con este fin, en los anexos que acompañan el proyecto hay un listado de inmuebles afectados y fichas de catalogación que buscan brindar la normativa más precisa posible. </w:t>
      </w:r>
    </w:p>
    <w:p w:rsidR="00964F18" w:rsidRPr="00964F18" w:rsidRDefault="00964F18" w:rsidP="00964F18">
      <w:pPr>
        <w:spacing w:before="240" w:after="240"/>
        <w:rPr>
          <w:lang w:val="es-AR" w:eastAsia="es-ES_tradnl"/>
        </w:rPr>
      </w:pPr>
      <w:r w:rsidRPr="00964F18">
        <w:rPr>
          <w:color w:val="000000"/>
          <w:lang w:val="es-AR" w:eastAsia="es-ES_tradnl"/>
        </w:rPr>
        <w:t>La sanción del nuevo Código Urbanístico en 2018 implicó nuevos lineamientos que tuvieron que recibir varias modificaciones para garantizar el cumplimiento de objetivos económicos, sociales y ambientales. De esta manera, la participación ciudadana es una instancia fundamental en este proceso y el trabajo llevado a cabo desde los Poderes Ejecutivo y Legislativo junto a los vecinos y las vecinas de Núñez se cristalizó en el presente proyecto.</w:t>
      </w:r>
    </w:p>
    <w:p w:rsidR="005E3C49" w:rsidRPr="00964F18" w:rsidRDefault="00964F18" w:rsidP="00964F18">
      <w:pPr>
        <w:spacing w:before="240" w:after="240"/>
        <w:rPr>
          <w:lang w:val="es-AR" w:eastAsia="es-ES_tradnl"/>
        </w:rPr>
      </w:pPr>
      <w:r w:rsidRPr="00964F18">
        <w:rPr>
          <w:color w:val="000000"/>
          <w:lang w:val="es-AR" w:eastAsia="es-ES_tradnl"/>
        </w:rPr>
        <w:t>Por todo lo expuesto, solicito a mis pares la aprobación del presente proyecto.</w:t>
      </w:r>
    </w:p>
    <w:sectPr w:rsidR="005E3C49" w:rsidRPr="00964F18"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A38" w:rsidRDefault="00D53A38">
      <w:r>
        <w:separator/>
      </w:r>
    </w:p>
  </w:endnote>
  <w:endnote w:type="continuationSeparator" w:id="1">
    <w:p w:rsidR="00D53A38" w:rsidRDefault="00D53A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yriadPro-Regula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F20E3" w:rsidRPr="00EF20E3">
        <w:rPr>
          <w:noProof/>
          <w:color w:val="333333"/>
          <w:sz w:val="20"/>
        </w:rPr>
        <w:t>31/03/2022 13:12:00</w:t>
      </w:r>
    </w:fldSimple>
    <w:r w:rsidRPr="001C19C4">
      <w:rPr>
        <w:color w:val="333333"/>
        <w:sz w:val="20"/>
      </w:rPr>
      <w:t xml:space="preserve">  -  Cantidad de caracteres: </w:t>
    </w:r>
    <w:fldSimple w:instr=" NUMCHARS  \* MERGEFORMAT ">
      <w:r w:rsidR="00EF20E3" w:rsidRPr="00EF20E3">
        <w:rPr>
          <w:noProof/>
          <w:color w:val="333333"/>
          <w:sz w:val="20"/>
        </w:rPr>
        <w:t>10083</w:t>
      </w:r>
    </w:fldSimple>
    <w:r w:rsidRPr="001C19C4">
      <w:rPr>
        <w:color w:val="333333"/>
        <w:sz w:val="20"/>
      </w:rPr>
      <w:t xml:space="preserve"> - Cantidad de palabras: </w:t>
    </w:r>
    <w:fldSimple w:instr=" NUMWORDS  \* MERGEFORMAT ">
      <w:r w:rsidR="00EF20E3" w:rsidRPr="00EF20E3">
        <w:rPr>
          <w:noProof/>
          <w:color w:val="333333"/>
          <w:sz w:val="20"/>
        </w:rPr>
        <w:t>1879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4F626A" w:rsidRPr="001C19C4">
      <w:rPr>
        <w:rStyle w:val="Nmerodepgina"/>
        <w:color w:val="333333"/>
      </w:rPr>
      <w:fldChar w:fldCharType="begin"/>
    </w:r>
    <w:r w:rsidRPr="001C19C4">
      <w:rPr>
        <w:rStyle w:val="Nmerodepgina"/>
        <w:color w:val="333333"/>
      </w:rPr>
      <w:instrText xml:space="preserve"> PAGE </w:instrText>
    </w:r>
    <w:r w:rsidR="004F626A" w:rsidRPr="001C19C4">
      <w:rPr>
        <w:rStyle w:val="Nmerodepgina"/>
        <w:color w:val="333333"/>
      </w:rPr>
      <w:fldChar w:fldCharType="separate"/>
    </w:r>
    <w:r w:rsidR="00EF20E3">
      <w:rPr>
        <w:rStyle w:val="Nmerodepgina"/>
        <w:noProof/>
        <w:color w:val="333333"/>
      </w:rPr>
      <w:t>1</w:t>
    </w:r>
    <w:r w:rsidR="004F626A" w:rsidRPr="001C19C4">
      <w:rPr>
        <w:rStyle w:val="Nmerodepgina"/>
        <w:color w:val="333333"/>
      </w:rPr>
      <w:fldChar w:fldCharType="end"/>
    </w:r>
    <w:r w:rsidRPr="001C19C4">
      <w:rPr>
        <w:rStyle w:val="Nmerodepgina"/>
        <w:color w:val="333333"/>
      </w:rPr>
      <w:t>/</w:t>
    </w:r>
    <w:fldSimple w:instr=" NUMPAGES  \* MERGEFORMAT ">
      <w:r w:rsidR="00EF20E3" w:rsidRPr="00EF20E3">
        <w:rPr>
          <w:rStyle w:val="Nmerodepgina"/>
          <w:noProof/>
          <w:color w:val="333333"/>
        </w:rPr>
        <w:t>6</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A38" w:rsidRDefault="00D53A38">
      <w:r>
        <w:separator/>
      </w:r>
    </w:p>
  </w:footnote>
  <w:footnote w:type="continuationSeparator" w:id="1">
    <w:p w:rsidR="00D53A38" w:rsidRDefault="00D53A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241EE"/>
    <w:multiLevelType w:val="multilevel"/>
    <w:tmpl w:val="178E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62D76"/>
    <w:multiLevelType w:val="multilevel"/>
    <w:tmpl w:val="7B8E6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54A3517"/>
    <w:multiLevelType w:val="hybridMultilevel"/>
    <w:tmpl w:val="7C24D8C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60434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361B"/>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F626A"/>
    <w:rsid w:val="0051012E"/>
    <w:rsid w:val="005142E6"/>
    <w:rsid w:val="00522C71"/>
    <w:rsid w:val="005241CE"/>
    <w:rsid w:val="00534552"/>
    <w:rsid w:val="00540D49"/>
    <w:rsid w:val="00540E5C"/>
    <w:rsid w:val="00550A79"/>
    <w:rsid w:val="00551DE0"/>
    <w:rsid w:val="0057409D"/>
    <w:rsid w:val="005769D4"/>
    <w:rsid w:val="00580BDD"/>
    <w:rsid w:val="00584777"/>
    <w:rsid w:val="00587242"/>
    <w:rsid w:val="005A1232"/>
    <w:rsid w:val="005A32ED"/>
    <w:rsid w:val="005A3AA1"/>
    <w:rsid w:val="005A3DA3"/>
    <w:rsid w:val="005A4D27"/>
    <w:rsid w:val="005A5FA9"/>
    <w:rsid w:val="005B0FAF"/>
    <w:rsid w:val="005B14CE"/>
    <w:rsid w:val="005B6538"/>
    <w:rsid w:val="005C37AB"/>
    <w:rsid w:val="005E3C49"/>
    <w:rsid w:val="005F35E2"/>
    <w:rsid w:val="00601A75"/>
    <w:rsid w:val="0060434C"/>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977C9"/>
    <w:rsid w:val="007B0FD7"/>
    <w:rsid w:val="007B3715"/>
    <w:rsid w:val="007B6DE7"/>
    <w:rsid w:val="007C0373"/>
    <w:rsid w:val="007C0CF9"/>
    <w:rsid w:val="007C0DA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4F1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3372"/>
    <w:rsid w:val="00A55E61"/>
    <w:rsid w:val="00A66804"/>
    <w:rsid w:val="00A75EED"/>
    <w:rsid w:val="00A7779B"/>
    <w:rsid w:val="00A815D7"/>
    <w:rsid w:val="00A878E2"/>
    <w:rsid w:val="00A962A7"/>
    <w:rsid w:val="00AA08DB"/>
    <w:rsid w:val="00AA0B7C"/>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43FB"/>
    <w:rsid w:val="00C3675D"/>
    <w:rsid w:val="00C419C1"/>
    <w:rsid w:val="00C51E49"/>
    <w:rsid w:val="00C521F9"/>
    <w:rsid w:val="00C63351"/>
    <w:rsid w:val="00C71253"/>
    <w:rsid w:val="00C734F9"/>
    <w:rsid w:val="00C87365"/>
    <w:rsid w:val="00C93FF6"/>
    <w:rsid w:val="00CC20B0"/>
    <w:rsid w:val="00CE163F"/>
    <w:rsid w:val="00CE6BE9"/>
    <w:rsid w:val="00D21279"/>
    <w:rsid w:val="00D43AA2"/>
    <w:rsid w:val="00D518DB"/>
    <w:rsid w:val="00D53A38"/>
    <w:rsid w:val="00D55ECB"/>
    <w:rsid w:val="00D67721"/>
    <w:rsid w:val="00D753A8"/>
    <w:rsid w:val="00D758CE"/>
    <w:rsid w:val="00D76A86"/>
    <w:rsid w:val="00D927D4"/>
    <w:rsid w:val="00DD2795"/>
    <w:rsid w:val="00DD4DE2"/>
    <w:rsid w:val="00DD520D"/>
    <w:rsid w:val="00DF0164"/>
    <w:rsid w:val="00DF14A9"/>
    <w:rsid w:val="00DF2E43"/>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20E3"/>
    <w:rsid w:val="00F13C69"/>
    <w:rsid w:val="00F41DF6"/>
    <w:rsid w:val="00F52245"/>
    <w:rsid w:val="00F5569F"/>
    <w:rsid w:val="00F60308"/>
    <w:rsid w:val="00F640D0"/>
    <w:rsid w:val="00F657AD"/>
    <w:rsid w:val="00F7471A"/>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34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64F18"/>
    <w:pPr>
      <w:spacing w:before="100" w:beforeAutospacing="1" w:after="100" w:afterAutospacing="1"/>
      <w:jc w:val="left"/>
    </w:pPr>
    <w:rPr>
      <w:lang w:val="es-AR" w:eastAsia="es-ES_tradnl"/>
    </w:rPr>
  </w:style>
  <w:style w:type="paragraph" w:styleId="Prrafodelista">
    <w:name w:val="List Paragraph"/>
    <w:basedOn w:val="Normal"/>
    <w:uiPriority w:val="34"/>
    <w:qFormat/>
    <w:rsid w:val="007C0DA9"/>
    <w:pPr>
      <w:spacing w:after="160" w:line="259" w:lineRule="auto"/>
      <w:ind w:left="720"/>
      <w:contextualSpacing/>
      <w:jc w:val="left"/>
    </w:pPr>
    <w:rPr>
      <w:rFonts w:asciiTheme="minorHAnsi" w:eastAsiaTheme="minorHAnsi" w:hAnsiTheme="minorHAnsi" w:cstheme="minorBidi"/>
      <w:sz w:val="22"/>
      <w:szCs w:val="22"/>
      <w:lang w:val="es-AR" w:eastAsia="en-US"/>
    </w:rPr>
  </w:style>
</w:styles>
</file>

<file path=word/webSettings.xml><?xml version="1.0" encoding="utf-8"?>
<w:webSettings xmlns:r="http://schemas.openxmlformats.org/officeDocument/2006/relationships" xmlns:w="http://schemas.openxmlformats.org/wordprocessingml/2006/main">
  <w:divs>
    <w:div w:id="29946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60C372-C978-440D-8348-3499DB78C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1879</Words>
  <Characters>10083</Characters>
  <Application>Microsoft Office Word</Application>
  <DocSecurity>0</DocSecurity>
  <Lines>494</Lines>
  <Paragraphs>350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mathourte</cp:lastModifiedBy>
  <cp:revision>2</cp:revision>
  <cp:lastPrinted>2022-03-29T17:48:00Z</cp:lastPrinted>
  <dcterms:created xsi:type="dcterms:W3CDTF">2022-04-11T15:08:00Z</dcterms:created>
  <dcterms:modified xsi:type="dcterms:W3CDTF">2022-04-11T15:08:00Z</dcterms:modified>
</cp:coreProperties>
</file>