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6D79" w:rsidRDefault="004A6D79" w:rsidP="004A6D79">
      <w:pPr>
        <w:spacing w:before="240" w:after="240" w:line="276" w:lineRule="auto"/>
        <w:ind w:left="-142" w:firstLine="708"/>
        <w:jc w:val="center"/>
        <w:rPr>
          <w:rFonts w:ascii="Arial" w:hAnsi="Arial" w:cs="Arial"/>
          <w:b/>
          <w:bCs/>
          <w:szCs w:val="24"/>
          <w:lang w:eastAsia="es-AR"/>
        </w:rPr>
      </w:pPr>
      <w:r>
        <w:rPr>
          <w:rFonts w:ascii="Arial" w:hAnsi="Arial" w:cs="Arial"/>
          <w:b/>
          <w:bCs/>
          <w:szCs w:val="24"/>
          <w:lang w:eastAsia="es-AR"/>
        </w:rPr>
        <w:t xml:space="preserve">PROYECTO DE LEY </w:t>
      </w:r>
    </w:p>
    <w:p w:rsidR="004A6D79" w:rsidRDefault="004A6D79" w:rsidP="004A6D79">
      <w:pPr>
        <w:spacing w:before="240" w:after="240" w:line="276" w:lineRule="auto"/>
        <w:jc w:val="center"/>
        <w:rPr>
          <w:rFonts w:ascii="Arial" w:hAnsi="Arial" w:cs="Arial"/>
          <w:szCs w:val="24"/>
          <w:lang w:eastAsia="es-AR"/>
        </w:rPr>
      </w:pPr>
      <w:r>
        <w:rPr>
          <w:rFonts w:ascii="Arial" w:hAnsi="Arial" w:cs="Arial"/>
          <w:szCs w:val="24"/>
          <w:lang w:eastAsia="es-AR"/>
        </w:rPr>
        <w:t>LA LEGISLATURA DE LA CIUDAD AUTÓNOMA DE BUENOS AIRES SANCIONA CON FUERZA DE LEY</w:t>
      </w:r>
    </w:p>
    <w:p w:rsidR="004A6D79" w:rsidRDefault="004A6D79" w:rsidP="004A6D79">
      <w:pPr>
        <w:spacing w:before="240" w:after="240" w:line="276" w:lineRule="auto"/>
        <w:rPr>
          <w:rFonts w:ascii="Arial" w:hAnsi="Arial" w:cs="Arial"/>
          <w:szCs w:val="24"/>
          <w:lang w:eastAsia="es-AR"/>
        </w:rPr>
      </w:pPr>
      <w:r>
        <w:rPr>
          <w:rFonts w:ascii="Arial" w:hAnsi="Arial" w:cs="Arial"/>
          <w:szCs w:val="24"/>
          <w:lang w:eastAsia="es-AR"/>
        </w:rPr>
        <w:t>Artículo 1°.- Créase el Foro Multisectorial de Empleo Joven, como una instancia permanente dedicada al desarrollo de diagnósticos, planificación, evaluación y seguimiento de políticas destinadas a mejorar la situación de empleabilidad de jóvenes de entre 18 y 24 años en el ámbito de la Ciudad Autónoma de Buenos Aires.</w:t>
      </w:r>
    </w:p>
    <w:p w:rsidR="004A6D79" w:rsidRDefault="004A6D79" w:rsidP="004A6D79">
      <w:pPr>
        <w:spacing w:before="240" w:after="240" w:line="276" w:lineRule="auto"/>
        <w:rPr>
          <w:rFonts w:ascii="Arial" w:hAnsi="Arial" w:cs="Arial"/>
          <w:szCs w:val="24"/>
          <w:lang w:eastAsia="es-AR"/>
        </w:rPr>
      </w:pPr>
      <w:r>
        <w:rPr>
          <w:rFonts w:ascii="Arial" w:hAnsi="Arial" w:cs="Arial"/>
          <w:szCs w:val="24"/>
          <w:lang w:eastAsia="es-AR"/>
        </w:rPr>
        <w:t xml:space="preserve">Articulo 2°.- La presidencia y coordinación del Foro será responsabilidad del Poder Ejecutivo y estará a cargo de el/la funcionario/a que designe. </w:t>
      </w:r>
    </w:p>
    <w:p w:rsidR="004A6D79" w:rsidRDefault="004A6D79" w:rsidP="004A6D79">
      <w:pPr>
        <w:spacing w:before="240" w:after="240" w:line="276" w:lineRule="auto"/>
        <w:rPr>
          <w:rFonts w:ascii="Arial" w:hAnsi="Arial" w:cs="Arial"/>
          <w:szCs w:val="24"/>
          <w:lang w:eastAsia="es-AR"/>
        </w:rPr>
      </w:pPr>
      <w:r>
        <w:rPr>
          <w:rFonts w:ascii="Arial" w:hAnsi="Arial" w:cs="Arial"/>
          <w:szCs w:val="24"/>
          <w:lang w:eastAsia="es-AR"/>
        </w:rPr>
        <w:t>Artículo 3°.- El Foro está conformado por representantes de:</w:t>
      </w:r>
    </w:p>
    <w:p w:rsidR="004A6D79" w:rsidRDefault="004A6D79" w:rsidP="004A6D79">
      <w:pPr>
        <w:pStyle w:val="Prrafodelista"/>
        <w:numPr>
          <w:ilvl w:val="0"/>
          <w:numId w:val="6"/>
        </w:numPr>
        <w:spacing w:before="240" w:after="240"/>
        <w:ind w:left="851" w:hanging="419"/>
        <w:contextualSpacing w:val="0"/>
        <w:jc w:val="both"/>
        <w:rPr>
          <w:rFonts w:ascii="Arial" w:eastAsia="Times New Roman" w:hAnsi="Arial" w:cs="Arial"/>
          <w:sz w:val="24"/>
          <w:szCs w:val="24"/>
          <w:lang w:eastAsia="es-AR"/>
        </w:rPr>
      </w:pPr>
      <w:r>
        <w:rPr>
          <w:rFonts w:ascii="Arial" w:eastAsia="Times New Roman" w:hAnsi="Arial" w:cs="Arial"/>
          <w:sz w:val="24"/>
          <w:szCs w:val="24"/>
          <w:lang w:eastAsia="es-AR"/>
        </w:rPr>
        <w:t>los ministerios y organismos del Gobierno de la Ciudad Autónoma de Buenos Aires competentes en la materia, según lo determine la autoridad de aplicación;</w:t>
      </w:r>
    </w:p>
    <w:p w:rsidR="004A6D79" w:rsidRDefault="004A6D79" w:rsidP="004A6D79">
      <w:pPr>
        <w:pStyle w:val="Prrafodelista"/>
        <w:numPr>
          <w:ilvl w:val="0"/>
          <w:numId w:val="6"/>
        </w:numPr>
        <w:spacing w:before="240" w:after="240"/>
        <w:ind w:left="851" w:hanging="419"/>
        <w:contextualSpacing w:val="0"/>
        <w:jc w:val="both"/>
        <w:rPr>
          <w:rFonts w:ascii="Arial" w:eastAsia="Times New Roman" w:hAnsi="Arial" w:cs="Arial"/>
          <w:sz w:val="24"/>
          <w:szCs w:val="24"/>
          <w:lang w:eastAsia="es-AR"/>
        </w:rPr>
      </w:pPr>
      <w:r>
        <w:rPr>
          <w:rFonts w:ascii="Arial" w:eastAsia="Times New Roman" w:hAnsi="Arial" w:cs="Arial"/>
          <w:sz w:val="24"/>
          <w:szCs w:val="24"/>
          <w:lang w:eastAsia="es-AR"/>
        </w:rPr>
        <w:t>las comisiones de Niñez, Adolescencia y Juventud y Desarrollo Económico, Mercosur y Políticas de Empleo de la Legislatura;</w:t>
      </w:r>
    </w:p>
    <w:p w:rsidR="004A6D79" w:rsidRDefault="004A6D79" w:rsidP="004A6D79">
      <w:pPr>
        <w:pStyle w:val="Prrafodelista"/>
        <w:numPr>
          <w:ilvl w:val="0"/>
          <w:numId w:val="6"/>
        </w:numPr>
        <w:spacing w:before="240" w:after="240"/>
        <w:ind w:left="851" w:hanging="419"/>
        <w:contextualSpacing w:val="0"/>
        <w:jc w:val="both"/>
        <w:rPr>
          <w:rFonts w:ascii="Arial" w:eastAsia="Times New Roman" w:hAnsi="Arial" w:cs="Arial"/>
          <w:sz w:val="24"/>
          <w:szCs w:val="24"/>
          <w:lang w:eastAsia="es-AR"/>
        </w:rPr>
      </w:pPr>
      <w:r>
        <w:rPr>
          <w:rFonts w:ascii="Arial" w:eastAsia="Times New Roman" w:hAnsi="Arial" w:cs="Arial"/>
          <w:sz w:val="24"/>
          <w:szCs w:val="24"/>
          <w:lang w:eastAsia="es-AR"/>
        </w:rPr>
        <w:t>organizaciones sociales que trabajen sobre la problemática de la empleabilidad juvenil;</w:t>
      </w:r>
    </w:p>
    <w:p w:rsidR="004A6D79" w:rsidRDefault="004A6D79" w:rsidP="004A6D79">
      <w:pPr>
        <w:pStyle w:val="Prrafodelista"/>
        <w:numPr>
          <w:ilvl w:val="0"/>
          <w:numId w:val="6"/>
        </w:numPr>
        <w:spacing w:before="240" w:after="240"/>
        <w:ind w:left="851" w:hanging="419"/>
        <w:contextualSpacing w:val="0"/>
        <w:jc w:val="both"/>
        <w:rPr>
          <w:rFonts w:ascii="Arial" w:eastAsia="Times New Roman" w:hAnsi="Arial" w:cs="Arial"/>
          <w:sz w:val="24"/>
          <w:szCs w:val="24"/>
          <w:lang w:eastAsia="es-AR"/>
        </w:rPr>
      </w:pPr>
      <w:r>
        <w:rPr>
          <w:rFonts w:ascii="Arial" w:eastAsia="Times New Roman" w:hAnsi="Arial" w:cs="Arial"/>
          <w:sz w:val="24"/>
          <w:szCs w:val="24"/>
          <w:lang w:eastAsia="es-AR"/>
        </w:rPr>
        <w:t>jóvenes, organizaciones y representantes que desempeñen su activismo en torno a la temática de la juventud;</w:t>
      </w:r>
    </w:p>
    <w:p w:rsidR="004A6D79" w:rsidRDefault="004A6D79" w:rsidP="004A6D79">
      <w:pPr>
        <w:pStyle w:val="Prrafodelista"/>
        <w:numPr>
          <w:ilvl w:val="0"/>
          <w:numId w:val="6"/>
        </w:numPr>
        <w:spacing w:before="240" w:after="240"/>
        <w:ind w:left="851" w:hanging="419"/>
        <w:contextualSpacing w:val="0"/>
        <w:jc w:val="both"/>
        <w:rPr>
          <w:rFonts w:ascii="Arial" w:eastAsia="Times New Roman" w:hAnsi="Arial" w:cs="Arial"/>
          <w:sz w:val="24"/>
          <w:szCs w:val="24"/>
          <w:lang w:eastAsia="es-AR"/>
        </w:rPr>
      </w:pPr>
      <w:r>
        <w:rPr>
          <w:rFonts w:ascii="Arial" w:eastAsia="Times New Roman" w:hAnsi="Arial" w:cs="Arial"/>
          <w:sz w:val="24"/>
          <w:szCs w:val="24"/>
          <w:lang w:eastAsia="es-AR"/>
        </w:rPr>
        <w:t>sindicatos, cámaras de pequeñas y medianas empresas y/o otras cámaras empresarias;</w:t>
      </w:r>
    </w:p>
    <w:p w:rsidR="004A6D79" w:rsidRDefault="004A6D79" w:rsidP="004A6D79">
      <w:pPr>
        <w:pStyle w:val="Prrafodelista"/>
        <w:numPr>
          <w:ilvl w:val="0"/>
          <w:numId w:val="6"/>
        </w:numPr>
        <w:spacing w:before="240" w:after="240"/>
        <w:ind w:left="851" w:hanging="419"/>
        <w:contextualSpacing w:val="0"/>
        <w:jc w:val="both"/>
        <w:rPr>
          <w:rFonts w:ascii="Arial" w:eastAsia="Times New Roman" w:hAnsi="Arial" w:cs="Arial"/>
          <w:sz w:val="24"/>
          <w:szCs w:val="24"/>
          <w:lang w:eastAsia="es-AR"/>
        </w:rPr>
      </w:pPr>
      <w:r>
        <w:rPr>
          <w:rFonts w:ascii="Arial" w:eastAsia="Times New Roman" w:hAnsi="Arial" w:cs="Arial"/>
          <w:sz w:val="24"/>
          <w:szCs w:val="24"/>
          <w:lang w:eastAsia="es-AR"/>
        </w:rPr>
        <w:t>Universidades Nacionales y privadas con sede en la Ciudad Autónoma de Buenos Aires;</w:t>
      </w:r>
    </w:p>
    <w:p w:rsidR="004A6D79" w:rsidRDefault="004A6D79" w:rsidP="004A6D79">
      <w:pPr>
        <w:pStyle w:val="Prrafodelista"/>
        <w:numPr>
          <w:ilvl w:val="0"/>
          <w:numId w:val="6"/>
        </w:numPr>
        <w:spacing w:before="240" w:after="240"/>
        <w:ind w:left="851" w:hanging="419"/>
        <w:contextualSpacing w:val="0"/>
        <w:jc w:val="both"/>
        <w:rPr>
          <w:rFonts w:ascii="Arial" w:eastAsia="Times New Roman" w:hAnsi="Arial" w:cs="Arial"/>
          <w:sz w:val="24"/>
          <w:szCs w:val="24"/>
          <w:lang w:eastAsia="es-AR"/>
        </w:rPr>
      </w:pPr>
      <w:r>
        <w:rPr>
          <w:rFonts w:ascii="Arial" w:eastAsia="Times New Roman" w:hAnsi="Arial" w:cs="Arial"/>
          <w:sz w:val="24"/>
          <w:szCs w:val="24"/>
          <w:lang w:eastAsia="es-AR"/>
        </w:rPr>
        <w:t xml:space="preserve">personalidades del ámbito académico especializadas en el estudio de la materia, convocadas por la autoridad de aplicación. </w:t>
      </w:r>
    </w:p>
    <w:p w:rsidR="004A6D79" w:rsidRDefault="004A6D79" w:rsidP="004A6D79">
      <w:pPr>
        <w:spacing w:before="240" w:after="240" w:line="276" w:lineRule="auto"/>
        <w:rPr>
          <w:rFonts w:ascii="Arial" w:hAnsi="Arial" w:cs="Arial"/>
          <w:szCs w:val="24"/>
          <w:lang w:eastAsia="es-AR"/>
        </w:rPr>
      </w:pPr>
      <w:r>
        <w:rPr>
          <w:rFonts w:ascii="Arial" w:hAnsi="Arial" w:cs="Arial"/>
          <w:szCs w:val="24"/>
          <w:lang w:eastAsia="es-AR"/>
        </w:rPr>
        <w:t>Artículo 4°.- El Foro se reúne, como mínimo, semestralmente y tiene por objetivo:</w:t>
      </w:r>
    </w:p>
    <w:p w:rsidR="004A6D79" w:rsidRDefault="004A6D79" w:rsidP="004A6D79">
      <w:pPr>
        <w:pStyle w:val="Prrafodelista"/>
        <w:numPr>
          <w:ilvl w:val="0"/>
          <w:numId w:val="7"/>
        </w:numPr>
        <w:spacing w:before="240" w:after="240"/>
        <w:ind w:left="851" w:hanging="425"/>
        <w:contextualSpacing w:val="0"/>
        <w:jc w:val="both"/>
        <w:rPr>
          <w:rFonts w:ascii="Arial" w:eastAsia="Times New Roman" w:hAnsi="Arial" w:cs="Arial"/>
          <w:sz w:val="24"/>
          <w:szCs w:val="24"/>
          <w:lang w:eastAsia="es-AR"/>
        </w:rPr>
      </w:pPr>
      <w:r>
        <w:rPr>
          <w:rFonts w:ascii="Arial" w:eastAsia="Times New Roman" w:hAnsi="Arial" w:cs="Arial"/>
          <w:sz w:val="24"/>
          <w:szCs w:val="24"/>
          <w:lang w:eastAsia="es-AR"/>
        </w:rPr>
        <w:t xml:space="preserve">recabar información mediante estudios e investigaciones a fin de formular diagnósticos cuali y cuantitativos respecto de la situación del empleo juvenil en el ámbito de la Ciudad de Buenos Aires; </w:t>
      </w:r>
    </w:p>
    <w:p w:rsidR="004A6D79" w:rsidRDefault="004A6D79" w:rsidP="004A6D79">
      <w:pPr>
        <w:pStyle w:val="Prrafodelista"/>
        <w:numPr>
          <w:ilvl w:val="0"/>
          <w:numId w:val="7"/>
        </w:numPr>
        <w:spacing w:before="240" w:after="240"/>
        <w:ind w:left="851" w:hanging="425"/>
        <w:contextualSpacing w:val="0"/>
        <w:jc w:val="both"/>
        <w:rPr>
          <w:rFonts w:ascii="Arial" w:eastAsia="Times New Roman" w:hAnsi="Arial" w:cs="Arial"/>
          <w:sz w:val="24"/>
          <w:szCs w:val="24"/>
          <w:lang w:eastAsia="es-AR"/>
        </w:rPr>
      </w:pPr>
      <w:r>
        <w:rPr>
          <w:rFonts w:ascii="Arial" w:eastAsia="Times New Roman" w:hAnsi="Arial" w:cs="Arial"/>
          <w:sz w:val="24"/>
          <w:szCs w:val="24"/>
          <w:lang w:eastAsia="es-AR"/>
        </w:rPr>
        <w:t xml:space="preserve">elaborar y proponer ante las autoridades competentes proyectos de ley, programas u otras medidas que apunten a fomentar y promover la capacitación, contratación y sostenimiento de empleos de calidad para jóvenes, priorizando a las mujeres, los/as jóvenes con hijos/as a cargo y aquellos/as personas en condiciones de vulnerabilidad socio económica y/o que hayan abandonado los estudios primarios o secundarios; </w:t>
      </w:r>
    </w:p>
    <w:p w:rsidR="004A6D79" w:rsidRDefault="004A6D79" w:rsidP="004A6D79">
      <w:pPr>
        <w:pStyle w:val="Prrafodelista"/>
        <w:numPr>
          <w:ilvl w:val="0"/>
          <w:numId w:val="7"/>
        </w:numPr>
        <w:spacing w:before="240" w:after="240"/>
        <w:ind w:left="851" w:hanging="425"/>
        <w:contextualSpacing w:val="0"/>
        <w:jc w:val="both"/>
        <w:rPr>
          <w:rFonts w:ascii="Arial" w:eastAsia="Times New Roman" w:hAnsi="Arial" w:cs="Arial"/>
          <w:sz w:val="24"/>
          <w:szCs w:val="24"/>
          <w:lang w:eastAsia="es-AR"/>
        </w:rPr>
      </w:pPr>
      <w:r>
        <w:rPr>
          <w:rFonts w:ascii="Arial" w:eastAsia="Times New Roman" w:hAnsi="Arial" w:cs="Arial"/>
          <w:sz w:val="24"/>
          <w:szCs w:val="24"/>
          <w:lang w:eastAsia="es-AR"/>
        </w:rPr>
        <w:t>evaluar el impacto de la implementación de las políticas vigentes sobre la temática;</w:t>
      </w:r>
    </w:p>
    <w:p w:rsidR="004A6D79" w:rsidRDefault="004A6D79" w:rsidP="004A6D79">
      <w:pPr>
        <w:pStyle w:val="Prrafodelista"/>
        <w:numPr>
          <w:ilvl w:val="0"/>
          <w:numId w:val="7"/>
        </w:numPr>
        <w:spacing w:before="240" w:after="240"/>
        <w:ind w:left="851" w:hanging="425"/>
        <w:contextualSpacing w:val="0"/>
        <w:jc w:val="both"/>
        <w:rPr>
          <w:rFonts w:ascii="Arial" w:eastAsia="Times New Roman" w:hAnsi="Arial" w:cs="Arial"/>
          <w:sz w:val="24"/>
          <w:szCs w:val="24"/>
          <w:lang w:eastAsia="es-AR"/>
        </w:rPr>
      </w:pPr>
      <w:r>
        <w:rPr>
          <w:rFonts w:ascii="Arial" w:eastAsia="Times New Roman" w:hAnsi="Arial" w:cs="Arial"/>
          <w:sz w:val="24"/>
          <w:szCs w:val="24"/>
          <w:lang w:eastAsia="es-AR"/>
        </w:rPr>
        <w:lastRenderedPageBreak/>
        <w:t xml:space="preserve">desarrollar anuarios y compendios estadísticos que permitan mejorar los diagnósticos con base científica; </w:t>
      </w:r>
    </w:p>
    <w:p w:rsidR="004A6D79" w:rsidRDefault="004A6D79" w:rsidP="004A6D79">
      <w:pPr>
        <w:pStyle w:val="Prrafodelista"/>
        <w:numPr>
          <w:ilvl w:val="0"/>
          <w:numId w:val="7"/>
        </w:numPr>
        <w:spacing w:before="240" w:after="240"/>
        <w:ind w:left="851" w:hanging="425"/>
        <w:contextualSpacing w:val="0"/>
        <w:jc w:val="both"/>
        <w:rPr>
          <w:rFonts w:ascii="Arial" w:eastAsia="Times New Roman" w:hAnsi="Arial" w:cs="Arial"/>
          <w:sz w:val="24"/>
          <w:szCs w:val="24"/>
          <w:lang w:eastAsia="es-AR"/>
        </w:rPr>
      </w:pPr>
      <w:r>
        <w:rPr>
          <w:rFonts w:ascii="Arial" w:eastAsia="Times New Roman" w:hAnsi="Arial" w:cs="Arial"/>
          <w:sz w:val="24"/>
          <w:szCs w:val="24"/>
          <w:lang w:eastAsia="es-AR"/>
        </w:rPr>
        <w:t>actuar como instancia asesora en todo lo que refiere a la empleabilidad juvenil.</w:t>
      </w:r>
    </w:p>
    <w:p w:rsidR="004A6D79" w:rsidRDefault="004A6D79" w:rsidP="004A6D79">
      <w:pPr>
        <w:spacing w:before="240" w:after="240" w:line="276" w:lineRule="auto"/>
        <w:rPr>
          <w:rFonts w:ascii="Arial" w:hAnsi="Arial" w:cs="Arial"/>
          <w:szCs w:val="24"/>
          <w:lang w:eastAsia="es-AR"/>
        </w:rPr>
      </w:pPr>
      <w:r>
        <w:rPr>
          <w:rFonts w:ascii="Arial" w:hAnsi="Arial" w:cs="Arial"/>
          <w:szCs w:val="24"/>
          <w:lang w:eastAsia="es-AR"/>
        </w:rPr>
        <w:t xml:space="preserve">Artículo 4°.- El rol de las personas que integran el Foro es desempeñado ad honorem. No obstante, las autoridades podrán determinar la contratación de servicios profesionales para la realización de tareas específicas. </w:t>
      </w:r>
    </w:p>
    <w:p w:rsidR="004A6D79" w:rsidRDefault="004A6D79" w:rsidP="004A6D79">
      <w:pPr>
        <w:spacing w:before="240" w:after="240" w:line="276" w:lineRule="auto"/>
        <w:rPr>
          <w:rFonts w:ascii="Arial" w:hAnsi="Arial" w:cs="Arial"/>
          <w:szCs w:val="24"/>
          <w:lang w:eastAsia="es-AR"/>
        </w:rPr>
      </w:pPr>
      <w:r>
        <w:rPr>
          <w:rFonts w:ascii="Arial" w:hAnsi="Arial" w:cs="Arial"/>
          <w:szCs w:val="24"/>
          <w:lang w:eastAsia="es-AR"/>
        </w:rPr>
        <w:t xml:space="preserve">Artículo 5°.- Las autoridades del Foro toman las medidas correspondientes para garantizar que su integración y labor tengan perspectiva de género. </w:t>
      </w:r>
    </w:p>
    <w:p w:rsidR="004A6D79" w:rsidRDefault="004A6D79" w:rsidP="004A6D79">
      <w:pPr>
        <w:spacing w:before="240" w:after="240" w:line="276" w:lineRule="auto"/>
        <w:rPr>
          <w:rFonts w:ascii="Arial" w:hAnsi="Arial" w:cs="Arial"/>
          <w:szCs w:val="24"/>
          <w:lang w:eastAsia="es-AR"/>
        </w:rPr>
      </w:pPr>
      <w:r>
        <w:rPr>
          <w:rFonts w:ascii="Arial" w:hAnsi="Arial" w:cs="Arial"/>
          <w:szCs w:val="24"/>
          <w:lang w:eastAsia="es-AR"/>
        </w:rPr>
        <w:t xml:space="preserve">Artículo 6°.- Comuníquese, etc. </w:t>
      </w:r>
    </w:p>
    <w:p w:rsidR="004A6D79" w:rsidRDefault="004A6D79" w:rsidP="004A6D79">
      <w:pPr>
        <w:spacing w:before="240" w:after="240" w:line="276" w:lineRule="auto"/>
        <w:rPr>
          <w:rFonts w:ascii="Arial" w:hAnsi="Arial" w:cs="Arial"/>
          <w:szCs w:val="24"/>
          <w:lang w:eastAsia="es-AR"/>
        </w:rPr>
      </w:pPr>
      <w:r>
        <w:rPr>
          <w:rFonts w:ascii="Arial" w:hAnsi="Arial" w:cs="Arial"/>
          <w:szCs w:val="24"/>
          <w:lang w:eastAsia="es-AR"/>
        </w:rPr>
        <w:br w:type="page"/>
      </w:r>
    </w:p>
    <w:p w:rsidR="004A6D79" w:rsidRDefault="004A6D79" w:rsidP="004A6D79">
      <w:pPr>
        <w:spacing w:before="240" w:after="240" w:line="276" w:lineRule="auto"/>
        <w:rPr>
          <w:rFonts w:ascii="Arial" w:hAnsi="Arial" w:cs="Arial"/>
          <w:b/>
          <w:bCs/>
          <w:szCs w:val="24"/>
          <w:lang w:eastAsia="es-AR"/>
        </w:rPr>
      </w:pPr>
      <w:r>
        <w:rPr>
          <w:rFonts w:ascii="Arial" w:hAnsi="Arial" w:cs="Arial"/>
          <w:b/>
          <w:bCs/>
          <w:szCs w:val="24"/>
          <w:lang w:eastAsia="es-AR"/>
        </w:rPr>
        <w:lastRenderedPageBreak/>
        <w:t xml:space="preserve">FUNDAMENTOS </w:t>
      </w:r>
    </w:p>
    <w:p w:rsidR="004A6D79" w:rsidRDefault="004A6D79" w:rsidP="004A6D79">
      <w:pPr>
        <w:spacing w:before="240" w:after="240" w:line="276" w:lineRule="auto"/>
        <w:rPr>
          <w:rFonts w:ascii="Arial" w:hAnsi="Arial" w:cs="Arial"/>
          <w:szCs w:val="24"/>
          <w:lang w:eastAsia="es-AR"/>
        </w:rPr>
      </w:pPr>
      <w:r>
        <w:rPr>
          <w:rFonts w:ascii="Arial" w:hAnsi="Arial" w:cs="Arial"/>
          <w:szCs w:val="24"/>
          <w:lang w:eastAsia="es-AR"/>
        </w:rPr>
        <w:t xml:space="preserve">Sr. Presidente: </w:t>
      </w:r>
    </w:p>
    <w:p w:rsidR="004A6D79" w:rsidRDefault="004A6D79" w:rsidP="004A6D79">
      <w:pPr>
        <w:spacing w:before="240" w:after="240" w:line="276" w:lineRule="auto"/>
        <w:ind w:firstLine="708"/>
        <w:rPr>
          <w:rFonts w:ascii="Arial" w:hAnsi="Arial" w:cs="Arial"/>
          <w:szCs w:val="24"/>
          <w:lang w:eastAsia="es-AR"/>
        </w:rPr>
      </w:pPr>
      <w:r>
        <w:rPr>
          <w:rFonts w:ascii="Arial" w:hAnsi="Arial" w:cs="Arial"/>
          <w:szCs w:val="24"/>
        </w:rPr>
        <w:t>Tanto la Organización Internacional del Trabajo (OIT) como especialistas y organizaciones abocadas al estudio y abordaje de la empleabilidad juvenil coinciden en remarcar la importancia que reviste para las personas jóvenes lograr una inserción laboral en condiciones de regularidad, que les permita mejorar su situación social y productiva. Es en ese sentido que dicho organismo señala que las “políticas de promoción de empleo juvenil deben comenzar desde la escuela e incluso antes”.</w:t>
      </w:r>
      <w:r>
        <w:rPr>
          <w:rStyle w:val="Refdenotaalpie"/>
          <w:rFonts w:ascii="Arial" w:hAnsi="Arial" w:cs="Arial"/>
          <w:szCs w:val="24"/>
          <w:lang w:eastAsia="es-AR"/>
        </w:rPr>
        <w:footnoteReference w:id="2"/>
      </w:r>
    </w:p>
    <w:p w:rsidR="004A6D79" w:rsidRDefault="004A6D79" w:rsidP="004A6D79">
      <w:pPr>
        <w:spacing w:before="240" w:after="240" w:line="276" w:lineRule="auto"/>
        <w:ind w:firstLine="708"/>
        <w:rPr>
          <w:rFonts w:ascii="Arial" w:hAnsi="Arial" w:cs="Arial"/>
          <w:szCs w:val="24"/>
          <w:lang w:eastAsia="es-AR"/>
        </w:rPr>
      </w:pPr>
      <w:r>
        <w:rPr>
          <w:rFonts w:ascii="Arial" w:hAnsi="Arial" w:cs="Arial"/>
          <w:szCs w:val="24"/>
          <w:lang w:eastAsia="es-AR"/>
        </w:rPr>
        <w:t xml:space="preserve">Es una problemática que desde hace años ocupa la agenda de gobiernos en todo el mundo. La misma organización indica en informes previos al inicio de la pandemia del COVID 19 que entre 1999 y 2019 la población mundial de personas de entre 15 y 24 años creció un 30%, pasando de 1.000 a 1.300 millones, mientras que en el mismo período la participación de este grupo etario en el mercado laboral disminuyó, pasando de 568 a 497 millones de personas. </w:t>
      </w:r>
    </w:p>
    <w:p w:rsidR="004A6D79" w:rsidRDefault="004A6D79" w:rsidP="004A6D79">
      <w:pPr>
        <w:spacing w:before="240" w:after="240" w:line="276" w:lineRule="auto"/>
        <w:ind w:firstLine="708"/>
        <w:rPr>
          <w:rFonts w:ascii="Arial" w:hAnsi="Arial" w:cs="Arial"/>
          <w:szCs w:val="24"/>
          <w:lang w:eastAsia="es-AR"/>
        </w:rPr>
      </w:pPr>
      <w:r>
        <w:rPr>
          <w:rFonts w:ascii="Arial" w:hAnsi="Arial" w:cs="Arial"/>
          <w:szCs w:val="24"/>
          <w:lang w:eastAsia="es-AR"/>
        </w:rPr>
        <w:t xml:space="preserve">Dicha situación se explica, por un lado, debido a la creciente matriculación en instituciones de educación secundaria y superior. Por otro lado, enciende luces de alarma al advertir que 267 millones de personas, es decir alrededor del 20% del total de jóvenes, no estudian ni trabajan y de este último universo, unas dos terceras partes -alrededor de 181 millones- son mujeres, muchas veces ocupadas en el trabajo no remunerado asociado a tareas de cuidado. </w:t>
      </w:r>
    </w:p>
    <w:p w:rsidR="004A6D79" w:rsidRDefault="004A6D79" w:rsidP="004A6D79">
      <w:pPr>
        <w:spacing w:before="240" w:after="240" w:line="276" w:lineRule="auto"/>
        <w:ind w:firstLine="708"/>
        <w:rPr>
          <w:rFonts w:ascii="Arial" w:hAnsi="Arial" w:cs="Arial"/>
          <w:szCs w:val="24"/>
          <w:lang w:eastAsia="es-AR"/>
        </w:rPr>
      </w:pPr>
      <w:r>
        <w:rPr>
          <w:rFonts w:ascii="Arial" w:hAnsi="Arial" w:cs="Arial"/>
          <w:szCs w:val="24"/>
          <w:lang w:eastAsia="es-AR"/>
        </w:rPr>
        <w:t>Asimismo, indica que si bien jóvenes con formación universitaria tienen menos posibilidades de que sus empleos se vean afectados por la automatización que quienes cuentan con capacitaciones en oficios o aquellos carentes de formación, la promoción de la obtención de títulos de grado no asegura la erradicación del desempleo juvenil, en tanto que el incremento de participantes en la fuerza laboral con título universitario no se ha visto acompañado de un incremento en la cantidad de trabajos que demandaran alta calificación.</w:t>
      </w:r>
    </w:p>
    <w:p w:rsidR="004A6D79" w:rsidRDefault="004A6D79" w:rsidP="004A6D79">
      <w:pPr>
        <w:spacing w:before="240" w:after="240" w:line="276" w:lineRule="auto"/>
        <w:ind w:firstLine="708"/>
        <w:rPr>
          <w:rFonts w:ascii="Arial" w:hAnsi="Arial" w:cs="Arial"/>
          <w:szCs w:val="24"/>
          <w:lang w:eastAsia="es-AR"/>
        </w:rPr>
      </w:pPr>
      <w:r>
        <w:rPr>
          <w:rFonts w:ascii="Arial" w:hAnsi="Arial" w:cs="Arial"/>
          <w:szCs w:val="24"/>
          <w:lang w:eastAsia="es-AR"/>
        </w:rPr>
        <w:t>Refrendando esta información, un artículo publicado por el Centro de Implementación de Políticas Públicas para la Equidad y el Crecimiento (CIPPEC) en 2018,señala la informalidad del primer empleo es un predictor importante de trayectorias de exclusión, en tanto impacta negativamente sobre ingresos futuros, la probabilidad de tener un trabajo decente y acceder a jubilación.</w:t>
      </w:r>
      <w:r>
        <w:rPr>
          <w:rStyle w:val="Refdenotaalpie"/>
          <w:rFonts w:ascii="Arial" w:hAnsi="Arial" w:cs="Arial"/>
          <w:szCs w:val="24"/>
          <w:lang w:eastAsia="es-AR"/>
        </w:rPr>
        <w:footnoteReference w:id="3"/>
      </w:r>
    </w:p>
    <w:p w:rsidR="004A6D79" w:rsidRDefault="004A6D79" w:rsidP="004A6D79">
      <w:pPr>
        <w:spacing w:before="240" w:after="240" w:line="276" w:lineRule="auto"/>
        <w:ind w:firstLine="708"/>
        <w:rPr>
          <w:rFonts w:ascii="Arial" w:hAnsi="Arial" w:cs="Arial"/>
          <w:szCs w:val="24"/>
          <w:lang w:eastAsia="es-AR"/>
        </w:rPr>
      </w:pPr>
      <w:r>
        <w:rPr>
          <w:rFonts w:ascii="Arial" w:hAnsi="Arial" w:cs="Arial"/>
          <w:szCs w:val="24"/>
          <w:lang w:eastAsia="es-AR"/>
        </w:rPr>
        <w:t xml:space="preserve">Además, refleja que según los datos de aquel año del Programa de Naciones Unidas para el Desarrollo, señala en el mismo informe que Argentina era el país con mayor desempleo juvenil de todo Sudamérica. </w:t>
      </w:r>
    </w:p>
    <w:p w:rsidR="004A6D79" w:rsidRDefault="004A6D79" w:rsidP="004A6D79">
      <w:pPr>
        <w:spacing w:before="240" w:after="240" w:line="276" w:lineRule="auto"/>
        <w:ind w:firstLine="708"/>
        <w:rPr>
          <w:rFonts w:ascii="Arial" w:hAnsi="Arial" w:cs="Arial"/>
          <w:szCs w:val="24"/>
          <w:lang w:eastAsia="es-AR"/>
        </w:rPr>
      </w:pPr>
      <w:r>
        <w:rPr>
          <w:rFonts w:ascii="Arial" w:hAnsi="Arial" w:cs="Arial"/>
          <w:szCs w:val="24"/>
          <w:lang w:eastAsia="es-AR"/>
        </w:rPr>
        <w:t xml:space="preserve">Para 2019, la tasa de desocupación de jóvenes entre 15 y 18 años era del 38,1%, mientras que para el segmento de entre 19 y 24 años era del 24,2%. En ambos casos, </w:t>
      </w:r>
      <w:r>
        <w:rPr>
          <w:rFonts w:ascii="Arial" w:hAnsi="Arial" w:cs="Arial"/>
          <w:szCs w:val="24"/>
          <w:lang w:eastAsia="es-AR"/>
        </w:rPr>
        <w:lastRenderedPageBreak/>
        <w:t xml:space="preserve">estas mediciones fueron las más altas desde el 2006. La desocupación promedio en esta franja era del 24,4%.  </w:t>
      </w:r>
    </w:p>
    <w:p w:rsidR="004A6D79" w:rsidRDefault="004A6D79" w:rsidP="004A6D79">
      <w:pPr>
        <w:spacing w:before="240" w:after="240" w:line="276" w:lineRule="auto"/>
        <w:ind w:firstLine="708"/>
        <w:rPr>
          <w:rFonts w:ascii="Arial" w:hAnsi="Arial" w:cs="Arial"/>
          <w:szCs w:val="24"/>
          <w:lang w:eastAsia="es-AR"/>
        </w:rPr>
      </w:pPr>
      <w:r>
        <w:rPr>
          <w:rFonts w:ascii="Arial" w:hAnsi="Arial" w:cs="Arial"/>
          <w:szCs w:val="24"/>
          <w:lang w:eastAsia="es-AR"/>
        </w:rPr>
        <w:t xml:space="preserve">Todos estos datos, que en sí mismos expresan la extrema gravedad y vulnerabilidad que atraviesan las personas jóvenes y su vínculo con el empleo, empeoraron exponencialmente con la irrupción de la pandemia del COVID 19. </w:t>
      </w:r>
    </w:p>
    <w:p w:rsidR="004A6D79" w:rsidRDefault="004A6D79" w:rsidP="004A6D79">
      <w:pPr>
        <w:spacing w:before="240" w:after="240" w:line="276" w:lineRule="auto"/>
        <w:ind w:firstLine="708"/>
        <w:rPr>
          <w:rFonts w:ascii="Arial" w:hAnsi="Arial" w:cs="Arial"/>
          <w:szCs w:val="24"/>
          <w:lang w:eastAsia="es-AR"/>
        </w:rPr>
      </w:pPr>
      <w:r>
        <w:rPr>
          <w:rFonts w:ascii="Arial" w:hAnsi="Arial" w:cs="Arial"/>
          <w:szCs w:val="24"/>
          <w:lang w:eastAsia="es-AR"/>
        </w:rPr>
        <w:t xml:space="preserve">Un estudio del Programa de las Naciones Unidas para el Desarrollo realizado en 2021, respecto del impacto del COVID en Argentina y los desafíos de la post pandemia, exhibe cómo la tasa de empleo joven se redujo considerablemente durante la etapa de mayor aislamiento, en el segundo trimestre de 2020, cayendo al 26,2% en comparación con el 38,5% del mismo trimestre de 2019.  </w:t>
      </w:r>
    </w:p>
    <w:p w:rsidR="004A6D79" w:rsidRDefault="004A6D79" w:rsidP="004A6D79">
      <w:pPr>
        <w:spacing w:before="240" w:after="240" w:line="276" w:lineRule="auto"/>
        <w:ind w:firstLine="708"/>
        <w:rPr>
          <w:rFonts w:ascii="Arial" w:hAnsi="Arial" w:cs="Arial"/>
          <w:szCs w:val="24"/>
          <w:lang w:eastAsia="es-AR"/>
        </w:rPr>
      </w:pPr>
      <w:r>
        <w:rPr>
          <w:rFonts w:ascii="Arial" w:hAnsi="Arial" w:cs="Arial"/>
          <w:szCs w:val="24"/>
          <w:lang w:eastAsia="es-AR"/>
        </w:rPr>
        <w:t xml:space="preserve">Asimismo, durante el tercer trimestre de 2020 la tasa de desempleo de trabajadores de hasta 29 años alcanzó el 21,2%, duplicando la adultos que fue del 11,7%. Del mismo modo, al observar lo ocurrido con el empleo informal estas estimaciones dan cuenta de una mayor afectación a este grupo etario, evidenciando un crecimiento del desempleo hasta el orden del 28% cuando en el resto de la población el mismo se ubicaba en torno al 13%. </w:t>
      </w:r>
    </w:p>
    <w:p w:rsidR="004A6D79" w:rsidRDefault="004A6D79" w:rsidP="004A6D79">
      <w:pPr>
        <w:spacing w:before="240" w:after="240" w:line="276" w:lineRule="auto"/>
        <w:ind w:firstLine="709"/>
        <w:rPr>
          <w:rFonts w:ascii="Arial" w:hAnsi="Arial" w:cs="Arial"/>
          <w:szCs w:val="24"/>
        </w:rPr>
      </w:pPr>
      <w:r>
        <w:rPr>
          <w:rFonts w:ascii="Arial" w:hAnsi="Arial" w:cs="Arial"/>
          <w:szCs w:val="24"/>
        </w:rPr>
        <w:t>El INDEC infiere a partir de datos de la Encuesta Permanente de Hogares, que el Gran Buenos Aires es el conglomerado urbano con mayores tasas de desocupación y subocupación juvenil. Según el informe del Mercado de Trabajo, para el cuarto trimestre de 2021, el grupo poblacional con mayores niveles de desocupación es el de las mujeres de 14 a 29 años con 16,2%, seguida de los varones de la misma edad con el 13,5%</w:t>
      </w:r>
      <w:r>
        <w:rPr>
          <w:rStyle w:val="Refdenotaalpie"/>
          <w:rFonts w:ascii="Arial" w:hAnsi="Arial" w:cs="Arial"/>
          <w:szCs w:val="24"/>
        </w:rPr>
        <w:footnoteReference w:id="4"/>
      </w:r>
      <w:r>
        <w:rPr>
          <w:rFonts w:ascii="Arial" w:hAnsi="Arial" w:cs="Arial"/>
          <w:szCs w:val="24"/>
        </w:rPr>
        <w:t>.</w:t>
      </w:r>
    </w:p>
    <w:p w:rsidR="004A6D79" w:rsidRDefault="004A6D79" w:rsidP="004A6D79">
      <w:pPr>
        <w:spacing w:before="240" w:after="240" w:line="276" w:lineRule="auto"/>
        <w:ind w:firstLine="708"/>
        <w:rPr>
          <w:rFonts w:ascii="Arial" w:hAnsi="Arial" w:cs="Arial"/>
          <w:szCs w:val="24"/>
        </w:rPr>
      </w:pPr>
      <w:r>
        <w:rPr>
          <w:rFonts w:ascii="Arial" w:hAnsi="Arial" w:cs="Arial"/>
          <w:szCs w:val="24"/>
        </w:rPr>
        <w:t xml:space="preserve">El mismo documento muestra que estos grupos fueron los más afectados por la desocupación durante la pandemia, en tanto que hacia el cuatro trimestre de 2020 el 26% de las mujeres estaban afectadas por esta situación, junto con el 19% de los varones. En la Ciudad de Buenos Aires, el informe indica que para esa fecha había 4% de desocupación juvenil y un 9% de subocupación. </w:t>
      </w:r>
    </w:p>
    <w:p w:rsidR="004A6D79" w:rsidRDefault="004A6D79" w:rsidP="004A6D79">
      <w:pPr>
        <w:spacing w:before="240" w:after="240" w:line="276" w:lineRule="auto"/>
        <w:ind w:firstLine="709"/>
        <w:rPr>
          <w:rFonts w:ascii="Arial" w:hAnsi="Arial" w:cs="Arial"/>
          <w:szCs w:val="24"/>
        </w:rPr>
      </w:pPr>
      <w:r>
        <w:rPr>
          <w:rFonts w:ascii="Arial" w:hAnsi="Arial" w:cs="Arial"/>
          <w:szCs w:val="24"/>
        </w:rPr>
        <w:t>Por su parte, la Dirección General de Estadísticas y Censos de la Ciudad estima, en sus proyecciones de población para 2022, que en nuestro distrito viven casi 400.000 personas jóvenes, entre los 15 y los 24 años de edad. De ese grupo, alrededor de 196.000 son varones, mientras que cerca de 200.000 son mujeres. A partir de estas cifras, la totalidad de este grupo representa poco más del 12,5% de la proyección poblacional.</w:t>
      </w:r>
    </w:p>
    <w:p w:rsidR="004A6D79" w:rsidRDefault="004A6D79" w:rsidP="004A6D79">
      <w:pPr>
        <w:spacing w:before="240" w:after="240" w:line="276" w:lineRule="auto"/>
        <w:ind w:firstLine="708"/>
        <w:rPr>
          <w:rFonts w:ascii="Arial" w:hAnsi="Arial" w:cs="Arial"/>
          <w:szCs w:val="24"/>
        </w:rPr>
      </w:pPr>
      <w:r>
        <w:rPr>
          <w:rFonts w:ascii="Arial" w:hAnsi="Arial" w:cs="Arial"/>
          <w:szCs w:val="24"/>
        </w:rPr>
        <w:t xml:space="preserve">Siguiendo la misma fuente, para 2021 el grupo con mayor grado de desocupación fue aquel entre 10 y 24 años, con un 25%. Consecuentemente, contó con un menor nivel de actividad, apenas por encima del 30%. </w:t>
      </w:r>
    </w:p>
    <w:p w:rsidR="004A6D79" w:rsidRDefault="004A6D79" w:rsidP="004A6D79">
      <w:pPr>
        <w:spacing w:before="240" w:after="240" w:line="276" w:lineRule="auto"/>
        <w:ind w:firstLine="708"/>
        <w:rPr>
          <w:rFonts w:ascii="Arial" w:hAnsi="Arial" w:cs="Arial"/>
          <w:szCs w:val="24"/>
        </w:rPr>
      </w:pPr>
      <w:r>
        <w:rPr>
          <w:rFonts w:ascii="Arial" w:hAnsi="Arial" w:cs="Arial"/>
          <w:szCs w:val="24"/>
        </w:rPr>
        <w:t xml:space="preserve">A su vez el 17,5% de la población joven estaba desempleada y el 10,1% tenía subocupación horaria. Este porcentaje de desocupación aumenta cuando se analiza la categoría de entre 19 y 24 años, que casi duplicaba las cifras de los grupos de entre 25 y 29 años.  </w:t>
      </w:r>
    </w:p>
    <w:p w:rsidR="004A6D79" w:rsidRDefault="004A6D79" w:rsidP="004A6D79">
      <w:pPr>
        <w:spacing w:before="240" w:after="240" w:line="276" w:lineRule="auto"/>
        <w:ind w:firstLine="709"/>
        <w:rPr>
          <w:rFonts w:ascii="Arial" w:hAnsi="Arial" w:cs="Arial"/>
          <w:szCs w:val="24"/>
        </w:rPr>
      </w:pPr>
      <w:r>
        <w:rPr>
          <w:rFonts w:ascii="Arial" w:hAnsi="Arial" w:cs="Arial"/>
          <w:szCs w:val="24"/>
        </w:rPr>
        <w:lastRenderedPageBreak/>
        <w:t>A su vez, la misma fuente informa que para el primer trimestre de 2022 un 11,5% de la población de entre 19 y 29 años no estudiaba ni trabajaba. Al mismo tiempo, un 43,9% padecía situaciones de precariedad laboral, incluso a pesar de ser asalariados.</w:t>
      </w:r>
    </w:p>
    <w:p w:rsidR="004A6D79" w:rsidRDefault="004A6D79" w:rsidP="004A6D79">
      <w:pPr>
        <w:spacing w:before="240" w:after="240" w:line="276" w:lineRule="auto"/>
        <w:ind w:firstLine="708"/>
        <w:rPr>
          <w:rFonts w:ascii="Arial" w:hAnsi="Arial" w:cs="Arial"/>
          <w:szCs w:val="24"/>
        </w:rPr>
      </w:pPr>
      <w:r>
        <w:rPr>
          <w:rFonts w:ascii="Arial" w:hAnsi="Arial" w:cs="Arial"/>
          <w:szCs w:val="24"/>
        </w:rPr>
        <w:t xml:space="preserve">La Encuesta Permanente de Hogares también muestra que, para el mismo período, casi el 48% de la población desocupada en todo el país se encuentra en el rango de hasta 29 años. </w:t>
      </w:r>
    </w:p>
    <w:p w:rsidR="004A6D79" w:rsidRDefault="004A6D79" w:rsidP="004A6D79">
      <w:pPr>
        <w:spacing w:before="240" w:after="240" w:line="276" w:lineRule="auto"/>
        <w:ind w:firstLine="708"/>
        <w:rPr>
          <w:rFonts w:ascii="Arial" w:hAnsi="Arial" w:cs="Arial"/>
          <w:szCs w:val="24"/>
        </w:rPr>
      </w:pPr>
      <w:r>
        <w:rPr>
          <w:rFonts w:ascii="Arial" w:hAnsi="Arial" w:cs="Arial"/>
          <w:szCs w:val="24"/>
        </w:rPr>
        <w:t xml:space="preserve">Los datos son contundentes para explicar un complejo diagnóstico que como se ha explicado, se profundizó durante la pandemia, y que también se produce en paralelo con una transición social compleja respecto de las modalidades de trabajo tradicionales del siglo XX, con ciertas corrientes de pensamiento que ponen en cuestión filosófica y socialmente un cambio en torno a la percepción del trabajo como estructurante de la vida en sociedades occidentales. </w:t>
      </w:r>
    </w:p>
    <w:p w:rsidR="004A6D79" w:rsidRDefault="004A6D79" w:rsidP="004A6D79">
      <w:pPr>
        <w:spacing w:before="240" w:after="240" w:line="276" w:lineRule="auto"/>
        <w:ind w:firstLine="708"/>
        <w:rPr>
          <w:rFonts w:ascii="Arial" w:hAnsi="Arial" w:cs="Arial"/>
          <w:szCs w:val="24"/>
        </w:rPr>
      </w:pPr>
      <w:r>
        <w:rPr>
          <w:rFonts w:ascii="Arial" w:hAnsi="Arial" w:cs="Arial"/>
          <w:szCs w:val="24"/>
        </w:rPr>
        <w:t xml:space="preserve">Combinadas, estas variables convierten al desempleo y la subocupación de jóvenes de entre 18 y 24 años en una de las problemáticas principales, cuyo abordaje desde la elaboración e implementación de políticas públicas debe considerarse prioritario, específicamente a la hora de proyectar perspectivas de desarrollo económico y social en la calidad de vida de las generaciones más jóvenes. </w:t>
      </w:r>
    </w:p>
    <w:p w:rsidR="004A6D79" w:rsidRDefault="004A6D79" w:rsidP="004A6D79">
      <w:pPr>
        <w:spacing w:before="240" w:after="240" w:line="276" w:lineRule="auto"/>
        <w:ind w:firstLine="708"/>
        <w:rPr>
          <w:rFonts w:ascii="Arial" w:hAnsi="Arial" w:cs="Arial"/>
          <w:szCs w:val="24"/>
        </w:rPr>
      </w:pPr>
      <w:r>
        <w:rPr>
          <w:rFonts w:ascii="Arial" w:hAnsi="Arial" w:cs="Arial"/>
          <w:szCs w:val="24"/>
        </w:rPr>
        <w:t>Sobre los tipos de intervención posibles, el Plan de Desarrollo Económico para la Ciudad de Buenos Aires 2020-2035 incorpora una serie de recomendaciones y principios para sostener políticas que promuevan el crecimiento sostenido.</w:t>
      </w:r>
      <w:r>
        <w:rPr>
          <w:rStyle w:val="Refdenotaalpie"/>
          <w:rFonts w:ascii="Arial" w:hAnsi="Arial" w:cs="Arial"/>
          <w:szCs w:val="24"/>
        </w:rPr>
        <w:footnoteReference w:id="5"/>
      </w:r>
    </w:p>
    <w:p w:rsidR="004A6D79" w:rsidRDefault="004A6D79" w:rsidP="004A6D79">
      <w:pPr>
        <w:spacing w:before="240" w:after="240" w:line="276" w:lineRule="auto"/>
        <w:ind w:firstLine="708"/>
        <w:rPr>
          <w:rFonts w:ascii="Arial" w:hAnsi="Arial" w:cs="Arial"/>
          <w:szCs w:val="24"/>
        </w:rPr>
      </w:pPr>
      <w:r>
        <w:rPr>
          <w:rFonts w:ascii="Arial" w:hAnsi="Arial" w:cs="Arial"/>
          <w:szCs w:val="24"/>
        </w:rPr>
        <w:t xml:space="preserve">El apartado dedicado a “Gobernanza”, hace foco en la importancia de promover y fortalecer la capacidad del Gobierno de la Ciudad de Buenos Aires para llevar a cabo el direccionamiento estratégico, la coordinación y el monitoreo del Plan de Desarrollo Económico. </w:t>
      </w:r>
    </w:p>
    <w:p w:rsidR="004A6D79" w:rsidRDefault="004A6D79" w:rsidP="004A6D79">
      <w:pPr>
        <w:spacing w:before="240" w:after="240" w:line="276" w:lineRule="auto"/>
        <w:ind w:firstLine="708"/>
        <w:rPr>
          <w:rFonts w:ascii="Arial" w:hAnsi="Arial" w:cs="Arial"/>
          <w:szCs w:val="24"/>
        </w:rPr>
      </w:pPr>
      <w:r>
        <w:rPr>
          <w:rFonts w:ascii="Arial" w:hAnsi="Arial" w:cs="Arial"/>
          <w:szCs w:val="24"/>
        </w:rPr>
        <w:t>De esta manera, se consolidaría la planificación de la acción gubernamental en la implementación de políticas de desarrollo económico de la Ciudad Autónoma de Buenos Aires, propiciando un ámbito de articulación entre el sector público, el sector privado, y académicos, y promoviendo una planificación estratégica coordinada que permita avanzar en el desarrollo económico y productivo de la Ciudad Autónoma de Buenos Aires.</w:t>
      </w:r>
      <w:r>
        <w:rPr>
          <w:rStyle w:val="Refdenotaalpie"/>
          <w:rFonts w:ascii="Arial" w:hAnsi="Arial" w:cs="Arial"/>
          <w:szCs w:val="24"/>
        </w:rPr>
        <w:footnoteReference w:id="6"/>
      </w:r>
    </w:p>
    <w:p w:rsidR="004A6D79" w:rsidRDefault="004A6D79" w:rsidP="004A6D79">
      <w:pPr>
        <w:spacing w:before="240" w:after="240" w:line="276" w:lineRule="auto"/>
        <w:ind w:firstLine="709"/>
        <w:rPr>
          <w:rFonts w:ascii="Arial" w:hAnsi="Arial" w:cs="Arial"/>
          <w:szCs w:val="24"/>
        </w:rPr>
      </w:pPr>
      <w:r>
        <w:rPr>
          <w:rFonts w:ascii="Arial" w:hAnsi="Arial" w:cs="Arial"/>
          <w:szCs w:val="24"/>
        </w:rPr>
        <w:t xml:space="preserve">Actualmente el Gobierno de la Ciudad cuenta con una serie de programas que implementan políticas que intentan satisfacer de alguna manera sus demandas laborales. </w:t>
      </w:r>
    </w:p>
    <w:p w:rsidR="004A6D79" w:rsidRDefault="004A6D79" w:rsidP="004A6D79">
      <w:pPr>
        <w:spacing w:before="240" w:after="240" w:line="276" w:lineRule="auto"/>
        <w:ind w:firstLine="708"/>
        <w:rPr>
          <w:rFonts w:ascii="Arial" w:hAnsi="Arial" w:cs="Arial"/>
          <w:szCs w:val="24"/>
        </w:rPr>
      </w:pPr>
      <w:r>
        <w:rPr>
          <w:rFonts w:ascii="Arial" w:hAnsi="Arial" w:cs="Arial"/>
          <w:szCs w:val="24"/>
        </w:rPr>
        <w:t xml:space="preserve">En materia de empleo juvenil, desde hace años se lleva a cabo la Expo Empleo Joven, con el objetivo de intermediar y acercar posiciones entre empleadores que buscan suplir puestos con jóvenes que intentan conseguir su primer empleo. También se ofrecen allí talleres de capacitación, charlas y talleres de diversas temáticas. En el retorno a su modalidad presencial en noviembre de 2021, se acercaron más de 20.000 jóvenes. </w:t>
      </w:r>
    </w:p>
    <w:p w:rsidR="004A6D79" w:rsidRDefault="004A6D79" w:rsidP="004A6D79">
      <w:pPr>
        <w:spacing w:before="240" w:after="240" w:line="276" w:lineRule="auto"/>
        <w:ind w:firstLine="708"/>
        <w:rPr>
          <w:rFonts w:ascii="Arial" w:hAnsi="Arial" w:cs="Arial"/>
          <w:szCs w:val="24"/>
        </w:rPr>
      </w:pPr>
      <w:r>
        <w:rPr>
          <w:rFonts w:ascii="Arial" w:hAnsi="Arial" w:cs="Arial"/>
          <w:szCs w:val="24"/>
        </w:rPr>
        <w:lastRenderedPageBreak/>
        <w:t xml:space="preserve">Con una función similar, las plataformas oficiales albergan el Portal de Empleo de Trabajo BA, que oficia como una bolsa de trabajo en la que las empresas registradas publican avisos de los puestos que tienen vacantes y, a través de miBA, las personas interesadas pueden postularse. </w:t>
      </w:r>
    </w:p>
    <w:p w:rsidR="004A6D79" w:rsidRDefault="004A6D79" w:rsidP="004A6D79">
      <w:pPr>
        <w:spacing w:before="240" w:after="240" w:line="276" w:lineRule="auto"/>
        <w:ind w:firstLine="708"/>
        <w:rPr>
          <w:rFonts w:ascii="Arial" w:hAnsi="Arial" w:cs="Arial"/>
          <w:szCs w:val="24"/>
        </w:rPr>
      </w:pPr>
      <w:r>
        <w:rPr>
          <w:rFonts w:ascii="Arial" w:hAnsi="Arial" w:cs="Arial"/>
          <w:szCs w:val="24"/>
        </w:rPr>
        <w:t xml:space="preserve">Por otro lado, en 2022 se lanzó el plan Empleo Joven BA, una política de acción directa a partir de la cual se va a financiar un porcentaje del salario de jóvenes por un año, con el objetivo de incorporarles al mercado formal de trabajo. Con una meta de 10.000 jóvenes, el plan prevé que el Gobierno de la Ciudad se haga cargo de alrededor de $ 38.000 del salario mensual de cada uno, debiendo el empleador abonar la diferencia con el salario neto y las cargas sociales.  </w:t>
      </w:r>
    </w:p>
    <w:p w:rsidR="004A6D79" w:rsidRDefault="004A6D79" w:rsidP="004A6D79">
      <w:pPr>
        <w:spacing w:before="240" w:after="240" w:line="276" w:lineRule="auto"/>
        <w:ind w:firstLine="708"/>
        <w:rPr>
          <w:rFonts w:ascii="Arial" w:hAnsi="Arial" w:cs="Arial"/>
          <w:szCs w:val="24"/>
        </w:rPr>
      </w:pPr>
      <w:r>
        <w:rPr>
          <w:rFonts w:ascii="Arial" w:hAnsi="Arial" w:cs="Arial"/>
          <w:szCs w:val="24"/>
        </w:rPr>
        <w:t>Además funcionan diversas instancias de capacitación y formación de oficios y profesional de diversas temáticas, que se ofrecen a través del Portal Mi Primer Trabajo.</w:t>
      </w:r>
    </w:p>
    <w:p w:rsidR="004A6D79" w:rsidRDefault="004A6D79" w:rsidP="004A6D79">
      <w:pPr>
        <w:spacing w:before="240" w:after="240" w:line="276" w:lineRule="auto"/>
        <w:ind w:firstLine="708"/>
        <w:rPr>
          <w:rFonts w:ascii="Arial" w:hAnsi="Arial" w:cs="Arial"/>
          <w:szCs w:val="24"/>
        </w:rPr>
      </w:pPr>
      <w:r>
        <w:rPr>
          <w:rFonts w:ascii="Arial" w:hAnsi="Arial" w:cs="Arial"/>
          <w:szCs w:val="24"/>
        </w:rPr>
        <w:t xml:space="preserve">Conjugando las recomendaciones del Plan de Desarrollo Económico con el análisis de experiencias similares en otras provincias como el Gabinete Joven en la Provincia de Santa Fe o de Neuquén, así como también tomando como punto de partida las investigaciones e información recabada para la redacción de nuestro proyecto de Empleo Joven en la Cámara de Diputados de la Nación, es que consideramos fundamental la creación del Foro Multisectorial de Empleo Joven.  </w:t>
      </w:r>
    </w:p>
    <w:p w:rsidR="004A6D79" w:rsidRDefault="004A6D79" w:rsidP="004A6D79">
      <w:pPr>
        <w:spacing w:before="240" w:after="240" w:line="276" w:lineRule="auto"/>
        <w:ind w:firstLine="708"/>
        <w:rPr>
          <w:rFonts w:ascii="Arial" w:hAnsi="Arial" w:cs="Arial"/>
          <w:szCs w:val="24"/>
        </w:rPr>
      </w:pPr>
      <w:r>
        <w:rPr>
          <w:rFonts w:ascii="Arial" w:hAnsi="Arial" w:cs="Arial"/>
          <w:szCs w:val="24"/>
        </w:rPr>
        <w:t>El objetivo general es establecer un órgano de coordinación interministerial, en pos del gran abanico de programas y políticas que actualmente se encuentran en ejecución para un sector que atraviesa un período cambiante y de transición.</w:t>
      </w:r>
    </w:p>
    <w:p w:rsidR="004A6D79" w:rsidRDefault="004A6D79" w:rsidP="004A6D79">
      <w:pPr>
        <w:spacing w:before="240" w:after="240" w:line="276" w:lineRule="auto"/>
        <w:ind w:firstLine="708"/>
        <w:rPr>
          <w:rFonts w:ascii="Arial" w:hAnsi="Arial" w:cs="Arial"/>
          <w:szCs w:val="24"/>
        </w:rPr>
      </w:pPr>
      <w:r>
        <w:rPr>
          <w:rFonts w:ascii="Arial" w:hAnsi="Arial" w:cs="Arial"/>
          <w:szCs w:val="24"/>
        </w:rPr>
        <w:t xml:space="preserve">La constitución del Foro Multisectorial de Empleo Joven tiene por objetivo la construcción de un espacio institucional que oficie como usina de vinculación entre las distintas áreas de gobierno que intervienen en la implementación de políticas públicas de empleo joven, del que al mismo tiempo formen parte organizaciones, cámaras empresarias, representantes de las PyMES, las comisiones temáticas correspondientes de la Legislatura, asociaciones sindicales y universidades públicas y privadas con sede en la Ciudad. </w:t>
      </w:r>
    </w:p>
    <w:p w:rsidR="004A6D79" w:rsidRDefault="004A6D79" w:rsidP="004A6D79">
      <w:pPr>
        <w:spacing w:before="240" w:after="240" w:line="276" w:lineRule="auto"/>
        <w:ind w:firstLine="709"/>
        <w:rPr>
          <w:rFonts w:ascii="Arial" w:hAnsi="Arial" w:cs="Arial"/>
          <w:szCs w:val="24"/>
        </w:rPr>
      </w:pPr>
      <w:r>
        <w:rPr>
          <w:rFonts w:ascii="Arial" w:hAnsi="Arial" w:cs="Arial"/>
          <w:szCs w:val="24"/>
        </w:rPr>
        <w:t xml:space="preserve">Con base en el diagnostico que desarrolle a partir de las estadísticas existentes y de su propia labor, el Foro podrá evaluar el alcance e impacto de las políticas vigentes, proponer correcciones o cambios para mejorarlos y también redactar y proponer nuevas medidas. </w:t>
      </w:r>
    </w:p>
    <w:p w:rsidR="004A6D79" w:rsidRDefault="004A6D79" w:rsidP="004A6D79">
      <w:pPr>
        <w:spacing w:before="240" w:after="240" w:line="276" w:lineRule="auto"/>
        <w:ind w:firstLine="708"/>
        <w:rPr>
          <w:rFonts w:ascii="Arial" w:hAnsi="Arial" w:cs="Arial"/>
          <w:szCs w:val="24"/>
        </w:rPr>
      </w:pPr>
      <w:r>
        <w:rPr>
          <w:rFonts w:ascii="Arial" w:hAnsi="Arial" w:cs="Arial"/>
          <w:szCs w:val="24"/>
        </w:rPr>
        <w:t xml:space="preserve">Por lo anteriormente expuesto y con la seguridad de que esta iniciativa realiza un aporte para fortalecer las herramientas institucionales del Gobierno de la Ciudad, en pos de consolidar el cumplimiento de los mandatos que imponen los artículos 40 y 44 de nuestra Constitución, garantizando a las y los jóvenes la igualdad real de oportunidades, fundamentalmente a través del acceso al empleo pero también de la creación de áreas de gestión de políticas que aseguren su integración, es que pedimos el pronto tratamiento y la aprobación de este proyecto. </w:t>
      </w:r>
    </w:p>
    <w:sectPr w:rsidR="004A6D79" w:rsidSect="00F3421D">
      <w:headerReference w:type="default" r:id="rId8"/>
      <w:footerReference w:type="default" r:id="rId9"/>
      <w:pgSz w:w="12240" w:h="20160" w:code="5"/>
      <w:pgMar w:top="2977" w:right="851" w:bottom="1418" w:left="1843"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B98" w:rsidRDefault="00B57B98">
      <w:r>
        <w:separator/>
      </w:r>
    </w:p>
  </w:endnote>
  <w:endnote w:type="continuationSeparator" w:id="1">
    <w:p w:rsidR="00B57B98" w:rsidRDefault="00B57B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37FE1" w:rsidRPr="00E37FE1">
        <w:rPr>
          <w:noProof/>
          <w:color w:val="333333"/>
          <w:sz w:val="20"/>
        </w:rPr>
        <w:t>19/09/2022 16:00:00</w:t>
      </w:r>
    </w:fldSimple>
    <w:r w:rsidRPr="001C19C4">
      <w:rPr>
        <w:color w:val="333333"/>
        <w:sz w:val="20"/>
      </w:rPr>
      <w:t xml:space="preserve">  -  Cantidad de caracteres: </w:t>
    </w:r>
    <w:fldSimple w:instr=" NUMCHARS  \* MERGEFORMAT ">
      <w:r w:rsidR="00E37FE1" w:rsidRPr="00E37FE1">
        <w:rPr>
          <w:noProof/>
          <w:color w:val="333333"/>
          <w:sz w:val="20"/>
        </w:rPr>
        <w:t>11783</w:t>
      </w:r>
    </w:fldSimple>
    <w:r w:rsidRPr="001C19C4">
      <w:rPr>
        <w:color w:val="333333"/>
        <w:sz w:val="20"/>
      </w:rPr>
      <w:t xml:space="preserve"> - Cantidad de palabras: </w:t>
    </w:r>
    <w:fldSimple w:instr=" NUMWORDS  \* MERGEFORMAT ">
      <w:r w:rsidR="00E37FE1" w:rsidRPr="00E37FE1">
        <w:rPr>
          <w:noProof/>
          <w:color w:val="333333"/>
          <w:sz w:val="20"/>
        </w:rPr>
        <w:t>2243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17964" w:rsidRPr="001C19C4">
      <w:rPr>
        <w:rStyle w:val="Nmerodepgina"/>
        <w:color w:val="333333"/>
      </w:rPr>
      <w:fldChar w:fldCharType="begin"/>
    </w:r>
    <w:r w:rsidRPr="001C19C4">
      <w:rPr>
        <w:rStyle w:val="Nmerodepgina"/>
        <w:color w:val="333333"/>
      </w:rPr>
      <w:instrText xml:space="preserve"> PAGE </w:instrText>
    </w:r>
    <w:r w:rsidR="00617964" w:rsidRPr="001C19C4">
      <w:rPr>
        <w:rStyle w:val="Nmerodepgina"/>
        <w:color w:val="333333"/>
      </w:rPr>
      <w:fldChar w:fldCharType="separate"/>
    </w:r>
    <w:r w:rsidR="00E37FE1">
      <w:rPr>
        <w:rStyle w:val="Nmerodepgina"/>
        <w:noProof/>
        <w:color w:val="333333"/>
      </w:rPr>
      <w:t>6</w:t>
    </w:r>
    <w:r w:rsidR="00617964" w:rsidRPr="001C19C4">
      <w:rPr>
        <w:rStyle w:val="Nmerodepgina"/>
        <w:color w:val="333333"/>
      </w:rPr>
      <w:fldChar w:fldCharType="end"/>
    </w:r>
    <w:r w:rsidRPr="001C19C4">
      <w:rPr>
        <w:rStyle w:val="Nmerodepgina"/>
        <w:color w:val="333333"/>
      </w:rPr>
      <w:t>/</w:t>
    </w:r>
    <w:fldSimple w:instr=" NUMPAGES  \* MERGEFORMAT ">
      <w:r w:rsidR="00E37FE1" w:rsidRPr="00E37FE1">
        <w:rPr>
          <w:rStyle w:val="Nmerodepgina"/>
          <w:noProof/>
          <w:color w:val="333333"/>
        </w:rPr>
        <w:t>6</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B98" w:rsidRDefault="00B57B98">
      <w:r>
        <w:separator/>
      </w:r>
    </w:p>
  </w:footnote>
  <w:footnote w:type="continuationSeparator" w:id="1">
    <w:p w:rsidR="00B57B98" w:rsidRDefault="00B57B98">
      <w:r>
        <w:continuationSeparator/>
      </w:r>
    </w:p>
  </w:footnote>
  <w:footnote w:id="2">
    <w:p w:rsidR="004A6D79" w:rsidRDefault="004A6D79" w:rsidP="004A6D79">
      <w:pPr>
        <w:pStyle w:val="Textonotapie"/>
        <w:spacing w:after="0" w:line="240" w:lineRule="auto"/>
        <w:jc w:val="both"/>
        <w:rPr>
          <w:rFonts w:ascii="Arial" w:hAnsi="Arial" w:cs="Arial"/>
          <w:sz w:val="17"/>
          <w:szCs w:val="17"/>
          <w:lang/>
        </w:rPr>
      </w:pPr>
      <w:r>
        <w:rPr>
          <w:rStyle w:val="Refdenotaalpie"/>
          <w:rFonts w:ascii="Arial" w:hAnsi="Arial" w:cs="Arial"/>
          <w:sz w:val="17"/>
          <w:szCs w:val="17"/>
        </w:rPr>
        <w:footnoteRef/>
      </w:r>
      <w:r>
        <w:rPr>
          <w:rFonts w:ascii="Arial" w:hAnsi="Arial" w:cs="Arial"/>
          <w:sz w:val="17"/>
          <w:szCs w:val="17"/>
        </w:rPr>
        <w:t xml:space="preserve">Organización Internacional del Trabajo (2015) Juventud e Informalidad. </w:t>
      </w:r>
      <w:r>
        <w:rPr>
          <w:rFonts w:ascii="Arial" w:hAnsi="Arial" w:cs="Arial"/>
          <w:sz w:val="17"/>
          <w:szCs w:val="17"/>
          <w:lang/>
        </w:rPr>
        <w:t xml:space="preserve">¿Qué sabemos sobre los programas y políticas de primer empleo en América Latina? Oficina Regional para América Latina y el Caribe. </w:t>
      </w:r>
    </w:p>
    <w:p w:rsidR="004A6D79" w:rsidRDefault="004A6D79" w:rsidP="004A6D79">
      <w:pPr>
        <w:pStyle w:val="Textonotapie"/>
        <w:spacing w:after="0" w:line="240" w:lineRule="auto"/>
        <w:jc w:val="both"/>
        <w:rPr>
          <w:rFonts w:ascii="Arial" w:hAnsi="Arial" w:cs="Arial"/>
          <w:sz w:val="17"/>
          <w:szCs w:val="17"/>
          <w:lang/>
        </w:rPr>
      </w:pPr>
      <w:hyperlink r:id="rId1" w:history="1">
        <w:r>
          <w:rPr>
            <w:rStyle w:val="Hipervnculo"/>
            <w:rFonts w:ascii="Arial" w:hAnsi="Arial" w:cs="Arial"/>
            <w:sz w:val="17"/>
            <w:szCs w:val="17"/>
            <w:lang/>
          </w:rPr>
          <w:t>https://www.ilo.org/wcmsp5/groups/public/---americas/---ro-lima/documents/publication/wcms_369021.pdf</w:t>
        </w:r>
      </w:hyperlink>
    </w:p>
    <w:p w:rsidR="004A6D79" w:rsidRDefault="004A6D79" w:rsidP="004A6D79">
      <w:pPr>
        <w:pStyle w:val="Textonotapie"/>
        <w:spacing w:after="0" w:line="240" w:lineRule="auto"/>
        <w:jc w:val="both"/>
        <w:rPr>
          <w:rFonts w:ascii="Arial" w:hAnsi="Arial" w:cs="Arial"/>
          <w:sz w:val="17"/>
          <w:szCs w:val="17"/>
          <w:lang/>
        </w:rPr>
      </w:pPr>
    </w:p>
  </w:footnote>
  <w:footnote w:id="3">
    <w:p w:rsidR="002731FA" w:rsidRDefault="004A6D79" w:rsidP="004A6D79">
      <w:pPr>
        <w:pStyle w:val="Textonotapie"/>
        <w:spacing w:after="0" w:line="240" w:lineRule="auto"/>
        <w:jc w:val="both"/>
        <w:rPr>
          <w:rFonts w:ascii="Arial" w:hAnsi="Arial" w:cs="Arial"/>
          <w:sz w:val="17"/>
          <w:szCs w:val="17"/>
        </w:rPr>
      </w:pPr>
      <w:r>
        <w:rPr>
          <w:rStyle w:val="Refdenotaalpie"/>
          <w:rFonts w:ascii="Arial" w:hAnsi="Arial" w:cs="Arial"/>
          <w:sz w:val="17"/>
          <w:szCs w:val="17"/>
        </w:rPr>
        <w:footnoteRef/>
      </w:r>
      <w:r>
        <w:rPr>
          <w:rFonts w:ascii="Arial" w:hAnsi="Arial" w:cs="Arial"/>
          <w:sz w:val="17"/>
          <w:szCs w:val="17"/>
        </w:rPr>
        <w:t>CIPPEC (2018) La Argentina es el país con mayor desempleo juvenil en el Cono Sur.</w:t>
      </w:r>
      <w:r w:rsidR="002731FA">
        <w:rPr>
          <w:rFonts w:ascii="Arial" w:hAnsi="Arial" w:cs="Arial"/>
          <w:sz w:val="17"/>
          <w:szCs w:val="17"/>
        </w:rPr>
        <w:t xml:space="preserve"> </w:t>
      </w:r>
    </w:p>
    <w:p w:rsidR="004A6D79" w:rsidRDefault="004A6D79" w:rsidP="004A6D79">
      <w:pPr>
        <w:pStyle w:val="Textonotapie"/>
        <w:spacing w:after="0" w:line="240" w:lineRule="auto"/>
        <w:jc w:val="both"/>
        <w:rPr>
          <w:rFonts w:ascii="Arial" w:hAnsi="Arial" w:cs="Arial"/>
          <w:sz w:val="17"/>
          <w:szCs w:val="17"/>
          <w:lang w:val="es-AR"/>
        </w:rPr>
      </w:pPr>
      <w:hyperlink r:id="rId2" w:history="1">
        <w:r>
          <w:rPr>
            <w:rStyle w:val="Hipervnculo"/>
            <w:rFonts w:ascii="Arial" w:hAnsi="Arial" w:cs="Arial"/>
            <w:sz w:val="17"/>
            <w:szCs w:val="17"/>
          </w:rPr>
          <w:t>https://www.cippec.org/textual/la-argentina-es-el-pais-con-mayor-desempleo-juvenil-de-la-region/</w:t>
        </w:r>
      </w:hyperlink>
    </w:p>
  </w:footnote>
  <w:footnote w:id="4">
    <w:p w:rsidR="004A6D79" w:rsidRDefault="004A6D79" w:rsidP="002731FA">
      <w:pPr>
        <w:pStyle w:val="Textonotapie"/>
        <w:spacing w:after="0" w:line="240" w:lineRule="auto"/>
        <w:jc w:val="both"/>
        <w:rPr>
          <w:rFonts w:ascii="Arial" w:hAnsi="Arial" w:cs="Arial"/>
          <w:sz w:val="17"/>
          <w:szCs w:val="17"/>
        </w:rPr>
      </w:pPr>
      <w:r>
        <w:rPr>
          <w:rStyle w:val="Refdenotaalpie"/>
          <w:rFonts w:ascii="Arial" w:hAnsi="Arial" w:cs="Arial"/>
          <w:sz w:val="17"/>
          <w:szCs w:val="17"/>
        </w:rPr>
        <w:footnoteRef/>
      </w:r>
      <w:r>
        <w:rPr>
          <w:rFonts w:ascii="Arial" w:hAnsi="Arial" w:cs="Arial"/>
          <w:sz w:val="17"/>
          <w:szCs w:val="17"/>
        </w:rPr>
        <w:t xml:space="preserve">Instituto Nacional de Estadísticas y Censos. </w:t>
      </w:r>
      <w:r>
        <w:rPr>
          <w:rFonts w:ascii="Arial" w:hAnsi="Arial" w:cs="Arial"/>
          <w:i/>
          <w:iCs/>
          <w:sz w:val="17"/>
          <w:szCs w:val="17"/>
        </w:rPr>
        <w:t>Mercado de Trabajo (</w:t>
      </w:r>
      <w:r>
        <w:rPr>
          <w:rFonts w:ascii="Arial" w:hAnsi="Arial" w:cs="Arial"/>
          <w:sz w:val="17"/>
          <w:szCs w:val="17"/>
        </w:rPr>
        <w:t>2022)</w:t>
      </w:r>
      <w:r>
        <w:rPr>
          <w:rFonts w:ascii="Arial" w:hAnsi="Arial" w:cs="Arial"/>
          <w:i/>
          <w:iCs/>
          <w:sz w:val="17"/>
          <w:szCs w:val="17"/>
        </w:rPr>
        <w:t>. Tasas e Indicadores Económicos.</w:t>
      </w:r>
      <w:r>
        <w:rPr>
          <w:rFonts w:ascii="Arial" w:hAnsi="Arial" w:cs="Arial"/>
          <w:sz w:val="17"/>
          <w:szCs w:val="17"/>
        </w:rPr>
        <w:t xml:space="preserve"> EPH. Trabajo e Ingresos, Vol. 6, n°2. </w:t>
      </w:r>
    </w:p>
    <w:p w:rsidR="004A6D79" w:rsidRDefault="004A6D79" w:rsidP="002731FA">
      <w:pPr>
        <w:pStyle w:val="Textonotapie"/>
        <w:spacing w:after="0" w:line="240" w:lineRule="auto"/>
        <w:jc w:val="both"/>
        <w:rPr>
          <w:rStyle w:val="Hipervnculo"/>
        </w:rPr>
      </w:pPr>
      <w:hyperlink r:id="rId3" w:history="1">
        <w:r>
          <w:rPr>
            <w:rStyle w:val="Hipervnculo"/>
            <w:rFonts w:ascii="Arial" w:hAnsi="Arial" w:cs="Arial"/>
            <w:sz w:val="17"/>
            <w:szCs w:val="17"/>
          </w:rPr>
          <w:t>https://www.indec.gob.ar/uploads/informesdeprensa/mercado_trabajo_eph_4trim211A57838DEC.pdf</w:t>
        </w:r>
      </w:hyperlink>
    </w:p>
    <w:p w:rsidR="004A6D79" w:rsidRDefault="004A6D79" w:rsidP="002731FA">
      <w:pPr>
        <w:pStyle w:val="Textonotapie"/>
        <w:spacing w:after="0" w:line="240" w:lineRule="auto"/>
        <w:jc w:val="both"/>
      </w:pPr>
    </w:p>
  </w:footnote>
  <w:footnote w:id="5">
    <w:p w:rsidR="004A6D79" w:rsidRDefault="004A6D79" w:rsidP="002731FA">
      <w:pPr>
        <w:pStyle w:val="Textonotapie"/>
        <w:spacing w:after="0" w:line="240" w:lineRule="auto"/>
        <w:jc w:val="both"/>
        <w:rPr>
          <w:rFonts w:ascii="Arial" w:hAnsi="Arial" w:cs="Arial"/>
          <w:sz w:val="17"/>
          <w:szCs w:val="17"/>
        </w:rPr>
      </w:pPr>
      <w:r>
        <w:rPr>
          <w:rStyle w:val="Refdenotaalpie"/>
          <w:rFonts w:ascii="Arial" w:hAnsi="Arial" w:cs="Arial"/>
          <w:sz w:val="17"/>
          <w:szCs w:val="17"/>
        </w:rPr>
        <w:footnoteRef/>
      </w:r>
      <w:r>
        <w:rPr>
          <w:rFonts w:ascii="Arial" w:hAnsi="Arial" w:cs="Arial"/>
          <w:sz w:val="17"/>
          <w:szCs w:val="17"/>
        </w:rPr>
        <w:t xml:space="preserve">Ministerio de Desarrollo Económico y Producción. (2020) Plan de Desarrollo Económico para la Ciudad de Buenos Aires 2020-2035 </w:t>
      </w:r>
    </w:p>
    <w:p w:rsidR="004A6D79" w:rsidRDefault="004A6D79" w:rsidP="002731FA">
      <w:pPr>
        <w:pStyle w:val="Textonotapie"/>
        <w:spacing w:after="0" w:line="240" w:lineRule="auto"/>
        <w:jc w:val="both"/>
        <w:rPr>
          <w:rFonts w:ascii="Arial" w:hAnsi="Arial" w:cs="Arial"/>
          <w:sz w:val="17"/>
          <w:szCs w:val="17"/>
        </w:rPr>
      </w:pPr>
      <w:hyperlink r:id="rId4" w:history="1">
        <w:r>
          <w:rPr>
            <w:rStyle w:val="Hipervnculo"/>
            <w:rFonts w:ascii="Arial" w:hAnsi="Arial" w:cs="Arial"/>
            <w:sz w:val="17"/>
            <w:szCs w:val="17"/>
          </w:rPr>
          <w:t>https://www.buenosaires.gob.ar/sites/gcaba/files/pdeco_resumen.pdf</w:t>
        </w:r>
      </w:hyperlink>
    </w:p>
    <w:p w:rsidR="004A6D79" w:rsidRDefault="004A6D79" w:rsidP="002731FA">
      <w:pPr>
        <w:pStyle w:val="Textonotapie"/>
        <w:spacing w:after="0" w:line="240" w:lineRule="auto"/>
        <w:jc w:val="both"/>
        <w:rPr>
          <w:rFonts w:ascii="Arial" w:hAnsi="Arial" w:cs="Arial"/>
          <w:sz w:val="17"/>
          <w:szCs w:val="17"/>
        </w:rPr>
      </w:pPr>
    </w:p>
  </w:footnote>
  <w:footnote w:id="6">
    <w:p w:rsidR="004A6D79" w:rsidRDefault="004A6D79" w:rsidP="002731FA">
      <w:pPr>
        <w:pStyle w:val="Textonotapie"/>
        <w:spacing w:after="0" w:line="240" w:lineRule="auto"/>
        <w:jc w:val="both"/>
        <w:rPr>
          <w:rFonts w:ascii="Arial" w:hAnsi="Arial" w:cs="Arial"/>
          <w:sz w:val="17"/>
          <w:szCs w:val="17"/>
          <w:lang/>
        </w:rPr>
      </w:pPr>
      <w:r>
        <w:rPr>
          <w:rStyle w:val="Refdenotaalpie"/>
          <w:rFonts w:ascii="Arial" w:hAnsi="Arial" w:cs="Arial"/>
          <w:sz w:val="17"/>
          <w:szCs w:val="17"/>
        </w:rPr>
        <w:footnoteRef/>
      </w:r>
      <w:r>
        <w:rPr>
          <w:rFonts w:ascii="Arial" w:hAnsi="Arial" w:cs="Arial"/>
          <w:sz w:val="17"/>
          <w:szCs w:val="17"/>
          <w:lang/>
        </w:rPr>
        <w:t xml:space="preserve">P.20 IBIDEM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211A0B0F"/>
    <w:multiLevelType w:val="hybridMultilevel"/>
    <w:tmpl w:val="43BE1DF6"/>
    <w:lvl w:ilvl="0" w:tplc="2C0A0017">
      <w:start w:val="1"/>
      <w:numFmt w:val="lowerLetter"/>
      <w:lvlText w:val="%1)"/>
      <w:lvlJc w:val="left"/>
      <w:pPr>
        <w:ind w:left="720" w:hanging="360"/>
      </w:pPr>
    </w:lvl>
    <w:lvl w:ilvl="1" w:tplc="2C0A0019">
      <w:start w:val="1"/>
      <w:numFmt w:val="decimal"/>
      <w:lvlText w:val="%2."/>
      <w:lvlJc w:val="left"/>
      <w:pPr>
        <w:tabs>
          <w:tab w:val="num" w:pos="1440"/>
        </w:tabs>
        <w:ind w:left="1440" w:hanging="360"/>
      </w:pPr>
    </w:lvl>
    <w:lvl w:ilvl="2" w:tplc="2C0A001B">
      <w:start w:val="1"/>
      <w:numFmt w:val="decimal"/>
      <w:lvlText w:val="%3."/>
      <w:lvlJc w:val="left"/>
      <w:pPr>
        <w:tabs>
          <w:tab w:val="num" w:pos="2160"/>
        </w:tabs>
        <w:ind w:left="2160" w:hanging="360"/>
      </w:pPr>
    </w:lvl>
    <w:lvl w:ilvl="3" w:tplc="2C0A000F">
      <w:start w:val="1"/>
      <w:numFmt w:val="decimal"/>
      <w:lvlText w:val="%4."/>
      <w:lvlJc w:val="left"/>
      <w:pPr>
        <w:tabs>
          <w:tab w:val="num" w:pos="2880"/>
        </w:tabs>
        <w:ind w:left="2880" w:hanging="360"/>
      </w:pPr>
    </w:lvl>
    <w:lvl w:ilvl="4" w:tplc="2C0A0019">
      <w:start w:val="1"/>
      <w:numFmt w:val="decimal"/>
      <w:lvlText w:val="%5."/>
      <w:lvlJc w:val="left"/>
      <w:pPr>
        <w:tabs>
          <w:tab w:val="num" w:pos="3600"/>
        </w:tabs>
        <w:ind w:left="3600" w:hanging="360"/>
      </w:pPr>
    </w:lvl>
    <w:lvl w:ilvl="5" w:tplc="2C0A001B">
      <w:start w:val="1"/>
      <w:numFmt w:val="decimal"/>
      <w:lvlText w:val="%6."/>
      <w:lvlJc w:val="left"/>
      <w:pPr>
        <w:tabs>
          <w:tab w:val="num" w:pos="4320"/>
        </w:tabs>
        <w:ind w:left="4320" w:hanging="360"/>
      </w:pPr>
    </w:lvl>
    <w:lvl w:ilvl="6" w:tplc="2C0A000F">
      <w:start w:val="1"/>
      <w:numFmt w:val="decimal"/>
      <w:lvlText w:val="%7."/>
      <w:lvlJc w:val="left"/>
      <w:pPr>
        <w:tabs>
          <w:tab w:val="num" w:pos="5040"/>
        </w:tabs>
        <w:ind w:left="5040" w:hanging="360"/>
      </w:pPr>
    </w:lvl>
    <w:lvl w:ilvl="7" w:tplc="2C0A0019">
      <w:start w:val="1"/>
      <w:numFmt w:val="decimal"/>
      <w:lvlText w:val="%8."/>
      <w:lvlJc w:val="left"/>
      <w:pPr>
        <w:tabs>
          <w:tab w:val="num" w:pos="5760"/>
        </w:tabs>
        <w:ind w:left="5760" w:hanging="360"/>
      </w:pPr>
    </w:lvl>
    <w:lvl w:ilvl="8" w:tplc="2C0A001B">
      <w:start w:val="1"/>
      <w:numFmt w:val="decimal"/>
      <w:lvlText w:val="%9."/>
      <w:lvlJc w:val="left"/>
      <w:pPr>
        <w:tabs>
          <w:tab w:val="num" w:pos="6480"/>
        </w:tabs>
        <w:ind w:left="6480" w:hanging="360"/>
      </w:pPr>
    </w:lvl>
  </w:abstractNum>
  <w:abstractNum w:abstractNumId="2">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3F277F57"/>
    <w:multiLevelType w:val="hybridMultilevel"/>
    <w:tmpl w:val="FF6C9182"/>
    <w:lvl w:ilvl="0" w:tplc="2C0A0017">
      <w:start w:val="1"/>
      <w:numFmt w:val="lowerLetter"/>
      <w:lvlText w:val="%1)"/>
      <w:lvlJc w:val="left"/>
      <w:pPr>
        <w:ind w:left="792" w:hanging="360"/>
      </w:pPr>
    </w:lvl>
    <w:lvl w:ilvl="1" w:tplc="2C0A0019">
      <w:start w:val="1"/>
      <w:numFmt w:val="decimal"/>
      <w:lvlText w:val="%2."/>
      <w:lvlJc w:val="left"/>
      <w:pPr>
        <w:tabs>
          <w:tab w:val="num" w:pos="1440"/>
        </w:tabs>
        <w:ind w:left="1440" w:hanging="360"/>
      </w:pPr>
    </w:lvl>
    <w:lvl w:ilvl="2" w:tplc="2C0A001B">
      <w:start w:val="1"/>
      <w:numFmt w:val="decimal"/>
      <w:lvlText w:val="%3."/>
      <w:lvlJc w:val="left"/>
      <w:pPr>
        <w:tabs>
          <w:tab w:val="num" w:pos="2160"/>
        </w:tabs>
        <w:ind w:left="2160" w:hanging="360"/>
      </w:pPr>
    </w:lvl>
    <w:lvl w:ilvl="3" w:tplc="2C0A000F">
      <w:start w:val="1"/>
      <w:numFmt w:val="decimal"/>
      <w:lvlText w:val="%4."/>
      <w:lvlJc w:val="left"/>
      <w:pPr>
        <w:tabs>
          <w:tab w:val="num" w:pos="2880"/>
        </w:tabs>
        <w:ind w:left="2880" w:hanging="360"/>
      </w:pPr>
    </w:lvl>
    <w:lvl w:ilvl="4" w:tplc="2C0A0019">
      <w:start w:val="1"/>
      <w:numFmt w:val="decimal"/>
      <w:lvlText w:val="%5."/>
      <w:lvlJc w:val="left"/>
      <w:pPr>
        <w:tabs>
          <w:tab w:val="num" w:pos="3600"/>
        </w:tabs>
        <w:ind w:left="3600" w:hanging="360"/>
      </w:pPr>
    </w:lvl>
    <w:lvl w:ilvl="5" w:tplc="2C0A001B">
      <w:start w:val="1"/>
      <w:numFmt w:val="decimal"/>
      <w:lvlText w:val="%6."/>
      <w:lvlJc w:val="left"/>
      <w:pPr>
        <w:tabs>
          <w:tab w:val="num" w:pos="4320"/>
        </w:tabs>
        <w:ind w:left="4320" w:hanging="360"/>
      </w:pPr>
    </w:lvl>
    <w:lvl w:ilvl="6" w:tplc="2C0A000F">
      <w:start w:val="1"/>
      <w:numFmt w:val="decimal"/>
      <w:lvlText w:val="%7."/>
      <w:lvlJc w:val="left"/>
      <w:pPr>
        <w:tabs>
          <w:tab w:val="num" w:pos="5040"/>
        </w:tabs>
        <w:ind w:left="5040" w:hanging="360"/>
      </w:pPr>
    </w:lvl>
    <w:lvl w:ilvl="7" w:tplc="2C0A0019">
      <w:start w:val="1"/>
      <w:numFmt w:val="decimal"/>
      <w:lvlText w:val="%8."/>
      <w:lvlJc w:val="left"/>
      <w:pPr>
        <w:tabs>
          <w:tab w:val="num" w:pos="5760"/>
        </w:tabs>
        <w:ind w:left="5760" w:hanging="360"/>
      </w:pPr>
    </w:lvl>
    <w:lvl w:ilvl="8" w:tplc="2C0A001B">
      <w:start w:val="1"/>
      <w:numFmt w:val="decimal"/>
      <w:lvlText w:val="%9."/>
      <w:lvlJc w:val="left"/>
      <w:pPr>
        <w:tabs>
          <w:tab w:val="num" w:pos="6480"/>
        </w:tabs>
        <w:ind w:left="6480" w:hanging="360"/>
      </w:pPr>
    </w:lvl>
  </w:abstractNum>
  <w:abstractNum w:abstractNumId="4">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6">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2"/>
  </w:num>
  <w:num w:numId="5">
    <w:abstractNumId w:val="6"/>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76802"/>
  </w:hdrShapeDefaults>
  <w:footnotePr>
    <w:footnote w:id="0"/>
    <w:footnote w:id="1"/>
  </w:footnotePr>
  <w:endnotePr>
    <w:endnote w:id="0"/>
    <w:endnote w:id="1"/>
  </w:endnotePr>
  <w:compat/>
  <w:rsids>
    <w:rsidRoot w:val="00FB4F49"/>
    <w:rsid w:val="00004D8A"/>
    <w:rsid w:val="00023D79"/>
    <w:rsid w:val="00026430"/>
    <w:rsid w:val="000277EA"/>
    <w:rsid w:val="00030DF5"/>
    <w:rsid w:val="00031143"/>
    <w:rsid w:val="0003615C"/>
    <w:rsid w:val="00036C07"/>
    <w:rsid w:val="000376AB"/>
    <w:rsid w:val="00041FC0"/>
    <w:rsid w:val="00043882"/>
    <w:rsid w:val="00062864"/>
    <w:rsid w:val="00067370"/>
    <w:rsid w:val="000713D7"/>
    <w:rsid w:val="00071CFB"/>
    <w:rsid w:val="00077DAC"/>
    <w:rsid w:val="00080837"/>
    <w:rsid w:val="00081FFF"/>
    <w:rsid w:val="00085D07"/>
    <w:rsid w:val="000B2290"/>
    <w:rsid w:val="000C64DB"/>
    <w:rsid w:val="000D1497"/>
    <w:rsid w:val="000D2860"/>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671B1"/>
    <w:rsid w:val="0019414B"/>
    <w:rsid w:val="001B770D"/>
    <w:rsid w:val="001C18CC"/>
    <w:rsid w:val="001C19C4"/>
    <w:rsid w:val="001D480C"/>
    <w:rsid w:val="001E0E01"/>
    <w:rsid w:val="001E5394"/>
    <w:rsid w:val="001F2924"/>
    <w:rsid w:val="001F3AFD"/>
    <w:rsid w:val="00205802"/>
    <w:rsid w:val="00205DAD"/>
    <w:rsid w:val="00223436"/>
    <w:rsid w:val="002327DE"/>
    <w:rsid w:val="00244BA2"/>
    <w:rsid w:val="00246DF0"/>
    <w:rsid w:val="0026220D"/>
    <w:rsid w:val="00265972"/>
    <w:rsid w:val="002731FA"/>
    <w:rsid w:val="00275865"/>
    <w:rsid w:val="00276A7E"/>
    <w:rsid w:val="00285729"/>
    <w:rsid w:val="00287D04"/>
    <w:rsid w:val="00294E26"/>
    <w:rsid w:val="00296815"/>
    <w:rsid w:val="002971A4"/>
    <w:rsid w:val="002A3B5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449FD"/>
    <w:rsid w:val="0035681D"/>
    <w:rsid w:val="00361201"/>
    <w:rsid w:val="00376A6E"/>
    <w:rsid w:val="00390436"/>
    <w:rsid w:val="00395843"/>
    <w:rsid w:val="003A7311"/>
    <w:rsid w:val="003B471C"/>
    <w:rsid w:val="003B7973"/>
    <w:rsid w:val="003D10AB"/>
    <w:rsid w:val="003D25A8"/>
    <w:rsid w:val="003D4000"/>
    <w:rsid w:val="003F1EFD"/>
    <w:rsid w:val="003F4249"/>
    <w:rsid w:val="00401C75"/>
    <w:rsid w:val="0040761B"/>
    <w:rsid w:val="00422C3F"/>
    <w:rsid w:val="004354AC"/>
    <w:rsid w:val="00446E1A"/>
    <w:rsid w:val="0045623D"/>
    <w:rsid w:val="00457596"/>
    <w:rsid w:val="004847CA"/>
    <w:rsid w:val="004A0ABA"/>
    <w:rsid w:val="004A5FAF"/>
    <w:rsid w:val="004A6D79"/>
    <w:rsid w:val="004B7714"/>
    <w:rsid w:val="004C49B5"/>
    <w:rsid w:val="004C4B76"/>
    <w:rsid w:val="004D2D62"/>
    <w:rsid w:val="004D30D5"/>
    <w:rsid w:val="004D438B"/>
    <w:rsid w:val="004D5AFA"/>
    <w:rsid w:val="004E235F"/>
    <w:rsid w:val="0051012E"/>
    <w:rsid w:val="005142E6"/>
    <w:rsid w:val="0051597F"/>
    <w:rsid w:val="00522C71"/>
    <w:rsid w:val="005241CE"/>
    <w:rsid w:val="00534552"/>
    <w:rsid w:val="00540D49"/>
    <w:rsid w:val="00540E5C"/>
    <w:rsid w:val="00550A79"/>
    <w:rsid w:val="00551CED"/>
    <w:rsid w:val="00551DE0"/>
    <w:rsid w:val="00565285"/>
    <w:rsid w:val="00566E19"/>
    <w:rsid w:val="0057409D"/>
    <w:rsid w:val="005769D4"/>
    <w:rsid w:val="00584777"/>
    <w:rsid w:val="00587242"/>
    <w:rsid w:val="005A1232"/>
    <w:rsid w:val="005A32ED"/>
    <w:rsid w:val="005A3AA1"/>
    <w:rsid w:val="005A3DA3"/>
    <w:rsid w:val="005A4D27"/>
    <w:rsid w:val="005B0FAF"/>
    <w:rsid w:val="005B14CE"/>
    <w:rsid w:val="005B276F"/>
    <w:rsid w:val="005B6538"/>
    <w:rsid w:val="005C37AB"/>
    <w:rsid w:val="005C44C9"/>
    <w:rsid w:val="005D0FF5"/>
    <w:rsid w:val="005E3C49"/>
    <w:rsid w:val="005F212D"/>
    <w:rsid w:val="005F35E2"/>
    <w:rsid w:val="00601A75"/>
    <w:rsid w:val="00616F70"/>
    <w:rsid w:val="00617964"/>
    <w:rsid w:val="00622DE5"/>
    <w:rsid w:val="00630E6E"/>
    <w:rsid w:val="006339C7"/>
    <w:rsid w:val="00636BE0"/>
    <w:rsid w:val="0064363E"/>
    <w:rsid w:val="00646F1F"/>
    <w:rsid w:val="00652BEE"/>
    <w:rsid w:val="00657EE2"/>
    <w:rsid w:val="006739D4"/>
    <w:rsid w:val="00676CD4"/>
    <w:rsid w:val="006811D6"/>
    <w:rsid w:val="00690392"/>
    <w:rsid w:val="00693ED3"/>
    <w:rsid w:val="00697F98"/>
    <w:rsid w:val="006A4667"/>
    <w:rsid w:val="006C326A"/>
    <w:rsid w:val="006C40E9"/>
    <w:rsid w:val="006D3303"/>
    <w:rsid w:val="006D5CB7"/>
    <w:rsid w:val="006E3675"/>
    <w:rsid w:val="006E6296"/>
    <w:rsid w:val="006F6589"/>
    <w:rsid w:val="00706B8E"/>
    <w:rsid w:val="00715AF3"/>
    <w:rsid w:val="00720C1E"/>
    <w:rsid w:val="007261D1"/>
    <w:rsid w:val="0073037B"/>
    <w:rsid w:val="00734F30"/>
    <w:rsid w:val="007410E7"/>
    <w:rsid w:val="007420D8"/>
    <w:rsid w:val="00744464"/>
    <w:rsid w:val="00761004"/>
    <w:rsid w:val="00771B54"/>
    <w:rsid w:val="007728C1"/>
    <w:rsid w:val="00777916"/>
    <w:rsid w:val="00780167"/>
    <w:rsid w:val="0079575E"/>
    <w:rsid w:val="00795E19"/>
    <w:rsid w:val="007A0232"/>
    <w:rsid w:val="007B0FD7"/>
    <w:rsid w:val="007B3715"/>
    <w:rsid w:val="007B6DE7"/>
    <w:rsid w:val="007C0373"/>
    <w:rsid w:val="007C0CF9"/>
    <w:rsid w:val="007D2459"/>
    <w:rsid w:val="007D6560"/>
    <w:rsid w:val="007E2AB2"/>
    <w:rsid w:val="007E3534"/>
    <w:rsid w:val="007E36D1"/>
    <w:rsid w:val="008019FD"/>
    <w:rsid w:val="008034F8"/>
    <w:rsid w:val="0081241C"/>
    <w:rsid w:val="00812683"/>
    <w:rsid w:val="00820A3A"/>
    <w:rsid w:val="00827228"/>
    <w:rsid w:val="008433E2"/>
    <w:rsid w:val="00846702"/>
    <w:rsid w:val="00847600"/>
    <w:rsid w:val="008553EB"/>
    <w:rsid w:val="0086333F"/>
    <w:rsid w:val="00870A2D"/>
    <w:rsid w:val="0087433C"/>
    <w:rsid w:val="008829F2"/>
    <w:rsid w:val="008844BF"/>
    <w:rsid w:val="0088546A"/>
    <w:rsid w:val="00890C59"/>
    <w:rsid w:val="00890E2F"/>
    <w:rsid w:val="0089106A"/>
    <w:rsid w:val="008938E5"/>
    <w:rsid w:val="008A072B"/>
    <w:rsid w:val="008B4536"/>
    <w:rsid w:val="008C2994"/>
    <w:rsid w:val="008C4AC3"/>
    <w:rsid w:val="00906685"/>
    <w:rsid w:val="00910E0F"/>
    <w:rsid w:val="0091690E"/>
    <w:rsid w:val="0093063C"/>
    <w:rsid w:val="00947238"/>
    <w:rsid w:val="009575B2"/>
    <w:rsid w:val="009624FC"/>
    <w:rsid w:val="0096461D"/>
    <w:rsid w:val="00972B10"/>
    <w:rsid w:val="009953AF"/>
    <w:rsid w:val="00996E34"/>
    <w:rsid w:val="009A36FF"/>
    <w:rsid w:val="009A6E2B"/>
    <w:rsid w:val="009B4FAC"/>
    <w:rsid w:val="009C159C"/>
    <w:rsid w:val="009C20D3"/>
    <w:rsid w:val="009C2198"/>
    <w:rsid w:val="009E5835"/>
    <w:rsid w:val="009F4E01"/>
    <w:rsid w:val="009F7873"/>
    <w:rsid w:val="00A0271E"/>
    <w:rsid w:val="00A06A2B"/>
    <w:rsid w:val="00A07090"/>
    <w:rsid w:val="00A11AD7"/>
    <w:rsid w:val="00A1286B"/>
    <w:rsid w:val="00A240CA"/>
    <w:rsid w:val="00A327D1"/>
    <w:rsid w:val="00A37C1D"/>
    <w:rsid w:val="00A40D86"/>
    <w:rsid w:val="00A414E9"/>
    <w:rsid w:val="00A43208"/>
    <w:rsid w:val="00A47920"/>
    <w:rsid w:val="00A502EF"/>
    <w:rsid w:val="00A55E61"/>
    <w:rsid w:val="00A66804"/>
    <w:rsid w:val="00A70FFC"/>
    <w:rsid w:val="00A75EED"/>
    <w:rsid w:val="00A7779B"/>
    <w:rsid w:val="00A878E2"/>
    <w:rsid w:val="00A962A7"/>
    <w:rsid w:val="00AA08DB"/>
    <w:rsid w:val="00AA2FEA"/>
    <w:rsid w:val="00AA7C22"/>
    <w:rsid w:val="00AB0A73"/>
    <w:rsid w:val="00AB5EB2"/>
    <w:rsid w:val="00AC3839"/>
    <w:rsid w:val="00AE2E8F"/>
    <w:rsid w:val="00AF5760"/>
    <w:rsid w:val="00AF6352"/>
    <w:rsid w:val="00B0152B"/>
    <w:rsid w:val="00B05649"/>
    <w:rsid w:val="00B1723C"/>
    <w:rsid w:val="00B177FE"/>
    <w:rsid w:val="00B20F89"/>
    <w:rsid w:val="00B21B29"/>
    <w:rsid w:val="00B264C1"/>
    <w:rsid w:val="00B31B65"/>
    <w:rsid w:val="00B32F6E"/>
    <w:rsid w:val="00B36178"/>
    <w:rsid w:val="00B4532F"/>
    <w:rsid w:val="00B46232"/>
    <w:rsid w:val="00B57B98"/>
    <w:rsid w:val="00B73B33"/>
    <w:rsid w:val="00B85EE2"/>
    <w:rsid w:val="00BE2A41"/>
    <w:rsid w:val="00BF2B7B"/>
    <w:rsid w:val="00BF71C2"/>
    <w:rsid w:val="00C26F53"/>
    <w:rsid w:val="00C330CB"/>
    <w:rsid w:val="00C354FD"/>
    <w:rsid w:val="00C3675D"/>
    <w:rsid w:val="00C419C1"/>
    <w:rsid w:val="00C51E49"/>
    <w:rsid w:val="00C521F9"/>
    <w:rsid w:val="00C63351"/>
    <w:rsid w:val="00C71253"/>
    <w:rsid w:val="00C734F9"/>
    <w:rsid w:val="00C819C2"/>
    <w:rsid w:val="00C85999"/>
    <w:rsid w:val="00C87365"/>
    <w:rsid w:val="00C93FF6"/>
    <w:rsid w:val="00CC20B0"/>
    <w:rsid w:val="00CE163F"/>
    <w:rsid w:val="00CE1834"/>
    <w:rsid w:val="00CE4A5E"/>
    <w:rsid w:val="00D21279"/>
    <w:rsid w:val="00D43AA2"/>
    <w:rsid w:val="00D44608"/>
    <w:rsid w:val="00D518DB"/>
    <w:rsid w:val="00D55ECB"/>
    <w:rsid w:val="00D67721"/>
    <w:rsid w:val="00D758CE"/>
    <w:rsid w:val="00D76A86"/>
    <w:rsid w:val="00D87150"/>
    <w:rsid w:val="00D91F88"/>
    <w:rsid w:val="00D927D4"/>
    <w:rsid w:val="00DA0390"/>
    <w:rsid w:val="00DD2795"/>
    <w:rsid w:val="00DD444E"/>
    <w:rsid w:val="00DD4DE2"/>
    <w:rsid w:val="00DD520D"/>
    <w:rsid w:val="00DF0164"/>
    <w:rsid w:val="00DF14A9"/>
    <w:rsid w:val="00DF54AA"/>
    <w:rsid w:val="00E07D33"/>
    <w:rsid w:val="00E11A9F"/>
    <w:rsid w:val="00E12909"/>
    <w:rsid w:val="00E12DDE"/>
    <w:rsid w:val="00E143B6"/>
    <w:rsid w:val="00E30CFF"/>
    <w:rsid w:val="00E34E73"/>
    <w:rsid w:val="00E37FE1"/>
    <w:rsid w:val="00E43F9E"/>
    <w:rsid w:val="00E55186"/>
    <w:rsid w:val="00E5658D"/>
    <w:rsid w:val="00E615F1"/>
    <w:rsid w:val="00E63146"/>
    <w:rsid w:val="00E64A1D"/>
    <w:rsid w:val="00E74920"/>
    <w:rsid w:val="00E81EE5"/>
    <w:rsid w:val="00E91F21"/>
    <w:rsid w:val="00EB6956"/>
    <w:rsid w:val="00EE6672"/>
    <w:rsid w:val="00EF0D22"/>
    <w:rsid w:val="00F13C69"/>
    <w:rsid w:val="00F3421D"/>
    <w:rsid w:val="00F41DF6"/>
    <w:rsid w:val="00F52245"/>
    <w:rsid w:val="00F5569F"/>
    <w:rsid w:val="00F60308"/>
    <w:rsid w:val="00F640D0"/>
    <w:rsid w:val="00F75389"/>
    <w:rsid w:val="00F903E8"/>
    <w:rsid w:val="00FA0C8C"/>
    <w:rsid w:val="00FB4F49"/>
    <w:rsid w:val="00FC65D0"/>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iPriority w:val="99"/>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 w:type="paragraph" w:customStyle="1" w:styleId="normal0">
    <w:name w:val="normal"/>
    <w:rsid w:val="00DD444E"/>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1096943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indec.gob.ar/uploads/informesdeprensa/mercado_trabajo_eph_4trim211A57838DEC.pdf" TargetMode="External"/><Relationship Id="rId2" Type="http://schemas.openxmlformats.org/officeDocument/2006/relationships/hyperlink" Target="https://www.cippec.org/textual/la-argentina-es-el-pais-con-mayor-desempleo-juvenil-de-la-region/" TargetMode="External"/><Relationship Id="rId1" Type="http://schemas.openxmlformats.org/officeDocument/2006/relationships/hyperlink" Target="https://www.ilo.org/wcmsp5/groups/public/---americas/---ro-lima/documents/publication/wcms_369021.pdf" TargetMode="External"/><Relationship Id="rId4" Type="http://schemas.openxmlformats.org/officeDocument/2006/relationships/hyperlink" Target="https://www.buenosaires.gob.ar/sites/gcaba/files/pdeco_resume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7F3D29-380B-4C8D-B69F-44C15C0D4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2244</Words>
  <Characters>11783</Characters>
  <Application>Microsoft Office Word</Application>
  <DocSecurity>0</DocSecurity>
  <Lines>199</Lines>
  <Paragraphs>66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13961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DGSI</cp:lastModifiedBy>
  <cp:revision>4</cp:revision>
  <cp:lastPrinted>2020-06-17T18:12:00Z</cp:lastPrinted>
  <dcterms:created xsi:type="dcterms:W3CDTF">2022-09-19T18:59:00Z</dcterms:created>
  <dcterms:modified xsi:type="dcterms:W3CDTF">2022-09-19T19:00:00Z</dcterms:modified>
</cp:coreProperties>
</file>