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1D1A" w:rsidRDefault="00C025B2">
      <w:pPr>
        <w:pBdr>
          <w:top w:val="nil"/>
          <w:left w:val="nil"/>
          <w:bottom w:val="nil"/>
          <w:right w:val="nil"/>
          <w:between w:val="nil"/>
        </w:pBdr>
        <w:spacing w:before="240" w:after="20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PROYECTO DE RESOLUCIÓN</w:t>
      </w:r>
    </w:p>
    <w:p w:rsidR="006E1D1A" w:rsidRDefault="006E1D1A">
      <w:pPr>
        <w:pBdr>
          <w:top w:val="nil"/>
          <w:left w:val="nil"/>
          <w:bottom w:val="nil"/>
          <w:right w:val="nil"/>
          <w:between w:val="nil"/>
        </w:pBdr>
        <w:spacing w:before="240" w:after="200" w:line="360" w:lineRule="auto"/>
        <w:jc w:val="center"/>
        <w:rPr>
          <w:rFonts w:ascii="Times New Roman" w:eastAsia="Times New Roman" w:hAnsi="Times New Roman" w:cs="Times New Roman"/>
          <w:color w:val="000000"/>
          <w:sz w:val="24"/>
          <w:szCs w:val="24"/>
        </w:rPr>
      </w:pPr>
    </w:p>
    <w:p w:rsidR="006E1D1A" w:rsidRDefault="00C025B2">
      <w:p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Artículo 1°.-</w:t>
      </w:r>
      <w:r>
        <w:rPr>
          <w:rFonts w:ascii="Times New Roman" w:eastAsia="Times New Roman" w:hAnsi="Times New Roman" w:cs="Times New Roman"/>
          <w:color w:val="000000"/>
          <w:sz w:val="24"/>
          <w:szCs w:val="24"/>
        </w:rPr>
        <w:t xml:space="preserve"> La Legislatura de la Ciudad Autónoma de Buenos Aires solicita al Poder Ejecutivo que en un plazo de 30 (treinta) días de recibida la presente, y a través de los organismos que correspondan, informe sobre los siguientes puntos referidos a la Ley Nº 4.355 p</w:t>
      </w:r>
      <w:r>
        <w:rPr>
          <w:rFonts w:ascii="Times New Roman" w:eastAsia="Times New Roman" w:hAnsi="Times New Roman" w:cs="Times New Roman"/>
          <w:color w:val="000000"/>
          <w:sz w:val="24"/>
          <w:szCs w:val="24"/>
        </w:rPr>
        <w:t xml:space="preserve">or la que se instituye el 25 de julio como el "Día </w:t>
      </w:r>
      <w:r>
        <w:rPr>
          <w:rFonts w:ascii="Times New Roman" w:eastAsia="Times New Roman" w:hAnsi="Times New Roman" w:cs="Times New Roman"/>
          <w:sz w:val="24"/>
          <w:szCs w:val="24"/>
        </w:rPr>
        <w:t>I</w:t>
      </w:r>
      <w:r>
        <w:rPr>
          <w:rFonts w:ascii="Times New Roman" w:eastAsia="Times New Roman" w:hAnsi="Times New Roman" w:cs="Times New Roman"/>
          <w:color w:val="000000"/>
          <w:sz w:val="24"/>
          <w:szCs w:val="24"/>
        </w:rPr>
        <w:t xml:space="preserve">nternacional de la </w:t>
      </w:r>
      <w:r>
        <w:rPr>
          <w:rFonts w:ascii="Times New Roman" w:eastAsia="Times New Roman" w:hAnsi="Times New Roman" w:cs="Times New Roman"/>
          <w:sz w:val="24"/>
          <w:szCs w:val="24"/>
        </w:rPr>
        <w:t>M</w:t>
      </w:r>
      <w:r>
        <w:rPr>
          <w:rFonts w:ascii="Times New Roman" w:eastAsia="Times New Roman" w:hAnsi="Times New Roman" w:cs="Times New Roman"/>
          <w:color w:val="000000"/>
          <w:sz w:val="24"/>
          <w:szCs w:val="24"/>
        </w:rPr>
        <w:t xml:space="preserve">ujer </w:t>
      </w:r>
      <w:r>
        <w:rPr>
          <w:rFonts w:ascii="Times New Roman" w:eastAsia="Times New Roman" w:hAnsi="Times New Roman" w:cs="Times New Roman"/>
          <w:sz w:val="24"/>
          <w:szCs w:val="24"/>
        </w:rPr>
        <w:t>A</w:t>
      </w:r>
      <w:r>
        <w:rPr>
          <w:rFonts w:ascii="Times New Roman" w:eastAsia="Times New Roman" w:hAnsi="Times New Roman" w:cs="Times New Roman"/>
          <w:color w:val="000000"/>
          <w:sz w:val="24"/>
          <w:szCs w:val="24"/>
        </w:rPr>
        <w:t>fro" en el ámbito de la Ciudad de Buenos Aires:</w:t>
      </w:r>
    </w:p>
    <w:p w:rsidR="006E1D1A" w:rsidRDefault="00C025B2">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Indique qué actividades se desarrollaron en el marco de la celebración del "Día internacional de la mujer afro" desde la Dirección</w:t>
      </w:r>
      <w:r>
        <w:rPr>
          <w:rFonts w:ascii="Times New Roman" w:eastAsia="Times New Roman" w:hAnsi="Times New Roman" w:cs="Times New Roman"/>
          <w:color w:val="000000"/>
          <w:sz w:val="24"/>
          <w:szCs w:val="24"/>
        </w:rPr>
        <w:t xml:space="preserve"> de la Mujer, tal cual establece el artículo 2º de la Ley de referencia, durante los años 2013, 2014, 2015, 2016, 2017, 2018, 2019, 2020, 2021 y 2022. Detalle y adjunte documentación respaldatoria.</w:t>
      </w:r>
    </w:p>
    <w:p w:rsidR="006E1D1A" w:rsidRDefault="00C025B2">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Indique la cantidad de personas estimadas </w:t>
      </w:r>
      <w:r>
        <w:rPr>
          <w:rFonts w:ascii="Times New Roman" w:eastAsia="Times New Roman" w:hAnsi="Times New Roman" w:cs="Times New Roman"/>
          <w:sz w:val="24"/>
          <w:szCs w:val="24"/>
        </w:rPr>
        <w:t>que participaron</w:t>
      </w:r>
      <w:r>
        <w:rPr>
          <w:rFonts w:ascii="Times New Roman" w:eastAsia="Times New Roman" w:hAnsi="Times New Roman" w:cs="Times New Roman"/>
          <w:sz w:val="24"/>
          <w:szCs w:val="24"/>
        </w:rPr>
        <w:t xml:space="preserve"> de cada actividad. </w:t>
      </w:r>
      <w:r>
        <w:rPr>
          <w:rFonts w:ascii="Times New Roman" w:eastAsia="Times New Roman" w:hAnsi="Times New Roman" w:cs="Times New Roman"/>
          <w:color w:val="000000"/>
          <w:sz w:val="24"/>
          <w:szCs w:val="24"/>
        </w:rPr>
        <w:t xml:space="preserve"> </w:t>
      </w:r>
    </w:p>
    <w:p w:rsidR="006E1D1A" w:rsidRDefault="00C025B2">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Explicite qué organizaciones de la comunidad afro fueron</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convocadas cada año.</w:t>
      </w:r>
    </w:p>
    <w:p w:rsidR="006E1D1A" w:rsidRDefault="00C025B2">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Indique qué tipos de actividades han sido y son incluidas en la </w:t>
      </w:r>
      <w:r>
        <w:rPr>
          <w:rFonts w:ascii="Times New Roman" w:eastAsia="Times New Roman" w:hAnsi="Times New Roman" w:cs="Times New Roman"/>
          <w:sz w:val="24"/>
          <w:szCs w:val="24"/>
        </w:rPr>
        <w:t>currícula</w:t>
      </w:r>
      <w:r>
        <w:rPr>
          <w:rFonts w:ascii="Times New Roman" w:eastAsia="Times New Roman" w:hAnsi="Times New Roman" w:cs="Times New Roman"/>
          <w:color w:val="000000"/>
          <w:sz w:val="24"/>
          <w:szCs w:val="24"/>
        </w:rPr>
        <w:t xml:space="preserve"> escolar para conmemorar la fecha, tal cual establece la Ley de referencia en su ar</w:t>
      </w:r>
      <w:r>
        <w:rPr>
          <w:rFonts w:ascii="Times New Roman" w:eastAsia="Times New Roman" w:hAnsi="Times New Roman" w:cs="Times New Roman"/>
          <w:color w:val="000000"/>
          <w:sz w:val="24"/>
          <w:szCs w:val="24"/>
        </w:rPr>
        <w:t>tículo 3º. Adjunte documentación respaldatoria.</w:t>
      </w:r>
    </w:p>
    <w:p w:rsidR="006E1D1A" w:rsidRDefault="00C025B2">
      <w:pPr>
        <w:numPr>
          <w:ilvl w:val="0"/>
          <w:numId w:val="1"/>
        </w:num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Indique qué medidas se tomaron desde el poder ejecutivo para garantizar la inclusión de actividades referidas en la fecha  a la curricula escolar tal cual establece la Ley de referencia en su artículo 3º. Adj</w:t>
      </w:r>
      <w:r>
        <w:rPr>
          <w:rFonts w:ascii="Times New Roman" w:eastAsia="Times New Roman" w:hAnsi="Times New Roman" w:cs="Times New Roman"/>
          <w:sz w:val="24"/>
          <w:szCs w:val="24"/>
        </w:rPr>
        <w:t>unte documentación respaldatoria.</w:t>
      </w:r>
    </w:p>
    <w:p w:rsidR="006E1D1A" w:rsidRDefault="00C025B2">
      <w:pPr>
        <w:numPr>
          <w:ilvl w:val="0"/>
          <w:numId w:val="1"/>
        </w:num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Detalle los presupuestos asignados para las actividades realizadas en el marco de la conmemoración del "Día de la Mujer Afro" durante los años 2013, 2014, 2015, 2016, 2017, 2018, 2019, 2020, 2021 y 2022. Adjunte documentac</w:t>
      </w:r>
      <w:r>
        <w:rPr>
          <w:rFonts w:ascii="Times New Roman" w:eastAsia="Times New Roman" w:hAnsi="Times New Roman" w:cs="Times New Roman"/>
          <w:color w:val="000000"/>
          <w:sz w:val="24"/>
          <w:szCs w:val="24"/>
        </w:rPr>
        <w:t xml:space="preserve">ión respaldatoria. </w:t>
      </w:r>
    </w:p>
    <w:p w:rsidR="006E1D1A" w:rsidRDefault="006E1D1A">
      <w:pPr>
        <w:pBdr>
          <w:top w:val="nil"/>
          <w:left w:val="nil"/>
          <w:bottom w:val="nil"/>
          <w:right w:val="nil"/>
          <w:between w:val="nil"/>
        </w:pBdr>
        <w:spacing w:line="360" w:lineRule="auto"/>
        <w:ind w:left="720"/>
        <w:jc w:val="both"/>
        <w:rPr>
          <w:rFonts w:ascii="Times New Roman" w:eastAsia="Times New Roman" w:hAnsi="Times New Roman" w:cs="Times New Roman"/>
          <w:color w:val="000000"/>
          <w:sz w:val="24"/>
          <w:szCs w:val="24"/>
        </w:rPr>
      </w:pPr>
    </w:p>
    <w:p w:rsidR="006E1D1A" w:rsidRDefault="00C025B2">
      <w:pPr>
        <w:pBdr>
          <w:top w:val="nil"/>
          <w:left w:val="nil"/>
          <w:bottom w:val="nil"/>
          <w:right w:val="nil"/>
          <w:between w:val="nil"/>
        </w:pBdr>
        <w:spacing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Artículo 2</w:t>
      </w:r>
      <w:r>
        <w:rPr>
          <w:rFonts w:ascii="Times New Roman" w:eastAsia="Times New Roman" w:hAnsi="Times New Roman" w:cs="Times New Roman"/>
          <w:color w:val="000000"/>
          <w:sz w:val="24"/>
          <w:szCs w:val="24"/>
        </w:rPr>
        <w:t xml:space="preserve">.-  Comuníquese, etc. </w:t>
      </w:r>
    </w:p>
    <w:p w:rsidR="006E1D1A" w:rsidRDefault="00C025B2">
      <w:pPr>
        <w:spacing w:line="360" w:lineRule="auto"/>
        <w:jc w:val="both"/>
        <w:rPr>
          <w:rFonts w:ascii="Times New Roman" w:eastAsia="Times New Roman" w:hAnsi="Times New Roman" w:cs="Times New Roman"/>
          <w:sz w:val="24"/>
          <w:szCs w:val="24"/>
        </w:rPr>
      </w:pPr>
      <w:r>
        <w:br w:type="page"/>
      </w:r>
    </w:p>
    <w:p w:rsidR="006E1D1A" w:rsidRDefault="006E1D1A">
      <w:pPr>
        <w:spacing w:line="360" w:lineRule="auto"/>
        <w:jc w:val="both"/>
        <w:rPr>
          <w:rFonts w:ascii="Times New Roman" w:eastAsia="Times New Roman" w:hAnsi="Times New Roman" w:cs="Times New Roman"/>
          <w:sz w:val="24"/>
          <w:szCs w:val="24"/>
        </w:rPr>
      </w:pPr>
    </w:p>
    <w:p w:rsidR="006E1D1A" w:rsidRDefault="00C025B2">
      <w:pPr>
        <w:pBdr>
          <w:top w:val="nil"/>
          <w:left w:val="nil"/>
          <w:bottom w:val="nil"/>
          <w:right w:val="nil"/>
          <w:between w:val="nil"/>
        </w:pBdr>
        <w:spacing w:after="200" w:line="36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FUNDAMENTOS.</w:t>
      </w:r>
    </w:p>
    <w:p w:rsidR="006E1D1A" w:rsidRDefault="00C025B2">
      <w:p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Señor presidente:</w:t>
      </w:r>
    </w:p>
    <w:p w:rsidR="006E1D1A" w:rsidRDefault="00C025B2">
      <w:p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ab/>
        <w:t>La Legislatura de la Ciudad Autónoma de Buenos Aires sancionó, el 15 de noviembre de 2012, la Ley Nº 4355 por la que se estatuyó cada 25 de julio como el "</w:t>
      </w:r>
      <w:r>
        <w:rPr>
          <w:rFonts w:ascii="Times New Roman" w:eastAsia="Times New Roman" w:hAnsi="Times New Roman" w:cs="Times New Roman"/>
          <w:color w:val="000000"/>
          <w:sz w:val="24"/>
          <w:szCs w:val="24"/>
        </w:rPr>
        <w:t>Día Internacional de la Mujer Afro" en el ámbito de la Ciudad de Buenos Aires y a su vez, en su artículo 2º, estableció que l</w:t>
      </w:r>
      <w:r>
        <w:rPr>
          <w:rFonts w:ascii="Times New Roman" w:eastAsia="Times New Roman" w:hAnsi="Times New Roman" w:cs="Times New Roman"/>
          <w:color w:val="000000"/>
          <w:sz w:val="24"/>
          <w:szCs w:val="24"/>
          <w:highlight w:val="white"/>
        </w:rPr>
        <w:t>a Dirección General de la Mujer debe desarrollar distintas actividades en el marco de la celebración de dicho día.</w:t>
      </w:r>
    </w:p>
    <w:p w:rsidR="006E1D1A" w:rsidRDefault="00C025B2">
      <w:p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b/>
        <w:t>El Día Internac</w:t>
      </w:r>
      <w:r>
        <w:rPr>
          <w:rFonts w:ascii="Times New Roman" w:eastAsia="Times New Roman" w:hAnsi="Times New Roman" w:cs="Times New Roman"/>
          <w:color w:val="000000"/>
          <w:sz w:val="24"/>
          <w:szCs w:val="24"/>
          <w:highlight w:val="white"/>
        </w:rPr>
        <w:t xml:space="preserve">ional de la Mujer Afro tiene su origen en 1992 cuando se llevó a cabo el Primer Encuentro de Mujeres Afrolatinas y Afrocaribeñas en la ciudad de Santo Domingo, República Dominicana, al que asistieron cientos de mujeres de distintos países con la misión de </w:t>
      </w:r>
      <w:r>
        <w:rPr>
          <w:rFonts w:ascii="Times New Roman" w:eastAsia="Times New Roman" w:hAnsi="Times New Roman" w:cs="Times New Roman"/>
          <w:color w:val="000000"/>
          <w:sz w:val="24"/>
          <w:szCs w:val="24"/>
          <w:highlight w:val="white"/>
        </w:rPr>
        <w:t xml:space="preserve">llevar adelante iniciativas para visibilizar la lucha contra el racismo, el sexismo, la invisibilización y la violencia que ha sido históricamente ejercida sobre el colectivo de mujeres afrodescendientes. </w:t>
      </w:r>
    </w:p>
    <w:p w:rsidR="006E1D1A" w:rsidRDefault="00C025B2">
      <w:pPr>
        <w:pBdr>
          <w:top w:val="nil"/>
          <w:left w:val="nil"/>
          <w:bottom w:val="nil"/>
          <w:right w:val="nil"/>
          <w:between w:val="nil"/>
        </w:pBdr>
        <w:spacing w:after="200" w:line="360" w:lineRule="auto"/>
        <w:ind w:firstLine="72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La fecha busca visibilizar las luchas que han libr</w:t>
      </w:r>
      <w:r>
        <w:rPr>
          <w:rFonts w:ascii="Times New Roman" w:eastAsia="Times New Roman" w:hAnsi="Times New Roman" w:cs="Times New Roman"/>
          <w:color w:val="000000"/>
          <w:sz w:val="24"/>
          <w:szCs w:val="24"/>
          <w:highlight w:val="white"/>
        </w:rPr>
        <w:t xml:space="preserve">ado miles de mujeres afrodescendientes de América Latina y el Caribe por la liberación y el reconocimiento, no sólo de sus raíces y orígenes, sino también por la reivindicación de su propia identidad, exigiendo a los Estados que lleven adelante acciones y </w:t>
      </w:r>
      <w:r>
        <w:rPr>
          <w:rFonts w:ascii="Times New Roman" w:eastAsia="Times New Roman" w:hAnsi="Times New Roman" w:cs="Times New Roman"/>
          <w:color w:val="000000"/>
          <w:sz w:val="24"/>
          <w:szCs w:val="24"/>
          <w:highlight w:val="white"/>
        </w:rPr>
        <w:t>medidas positivas para reconocer su derecho a la identidad afrodescendiente.</w:t>
      </w:r>
    </w:p>
    <w:p w:rsidR="006E1D1A" w:rsidRDefault="00C025B2">
      <w:pPr>
        <w:pBdr>
          <w:top w:val="nil"/>
          <w:left w:val="nil"/>
          <w:bottom w:val="nil"/>
          <w:right w:val="nil"/>
          <w:between w:val="nil"/>
        </w:pBdr>
        <w:spacing w:after="20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b/>
        <w:t xml:space="preserve">En nuestro país y en nuestra ciudad la historia del movimiento afro es rica, diversa, profunda, comprometida y de gran incidencia histórica. Nuestras raíces </w:t>
      </w:r>
      <w:r>
        <w:rPr>
          <w:rFonts w:ascii="Times New Roman" w:eastAsia="Times New Roman" w:hAnsi="Times New Roman" w:cs="Times New Roman"/>
          <w:sz w:val="24"/>
          <w:szCs w:val="24"/>
          <w:highlight w:val="white"/>
        </w:rPr>
        <w:t>afrodescendientes</w:t>
      </w:r>
      <w:r>
        <w:rPr>
          <w:rFonts w:ascii="Times New Roman" w:eastAsia="Times New Roman" w:hAnsi="Times New Roman" w:cs="Times New Roman"/>
          <w:color w:val="000000"/>
          <w:sz w:val="24"/>
          <w:szCs w:val="24"/>
          <w:highlight w:val="white"/>
        </w:rPr>
        <w:t xml:space="preserve"> han</w:t>
      </w:r>
      <w:r>
        <w:rPr>
          <w:rFonts w:ascii="Times New Roman" w:eastAsia="Times New Roman" w:hAnsi="Times New Roman" w:cs="Times New Roman"/>
          <w:color w:val="000000"/>
          <w:sz w:val="24"/>
          <w:szCs w:val="24"/>
          <w:highlight w:val="white"/>
        </w:rPr>
        <w:t xml:space="preserve"> sido negadas, han sido ocultadas y silenciadas durante mucho tiempo. La sanción de la Ley Nº 4355 es, entonces, una reparación histórica para las mujeres afrodescendientes, que dentro de la marginalización y estigmatización que ha sufrido el colectivo afr</w:t>
      </w:r>
      <w:r>
        <w:rPr>
          <w:rFonts w:ascii="Times New Roman" w:eastAsia="Times New Roman" w:hAnsi="Times New Roman" w:cs="Times New Roman"/>
          <w:color w:val="000000"/>
          <w:sz w:val="24"/>
          <w:szCs w:val="24"/>
          <w:highlight w:val="white"/>
        </w:rPr>
        <w:t>o, sufren una doble opresión interseccional: la racista-patriarcal.</w:t>
      </w:r>
    </w:p>
    <w:p w:rsidR="006E1D1A" w:rsidRDefault="00C025B2">
      <w:pPr>
        <w:pBdr>
          <w:top w:val="nil"/>
          <w:left w:val="nil"/>
          <w:bottom w:val="nil"/>
          <w:right w:val="nil"/>
          <w:between w:val="nil"/>
        </w:pBdr>
        <w:shd w:val="clear" w:color="auto" w:fill="FFFFFF"/>
        <w:spacing w:after="360" w:line="360" w:lineRule="auto"/>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ab/>
        <w:t>El 25 de julio se constituye como una fecha de celebración y conmemoración hacia la cultura afro y hacia los derechos adquiridos. También debe ser una jornada de reflexión en la que se po</w:t>
      </w:r>
      <w:r>
        <w:rPr>
          <w:rFonts w:ascii="Times New Roman" w:eastAsia="Times New Roman" w:hAnsi="Times New Roman" w:cs="Times New Roman"/>
          <w:color w:val="000000"/>
          <w:sz w:val="24"/>
          <w:szCs w:val="24"/>
          <w:highlight w:val="white"/>
        </w:rPr>
        <w:t xml:space="preserve">nga de manifiesto las aún persistentes problemáticas que atraviesan las mujeres afro, y, también, para que avancemos en el reconocimiento de los inconmensurables aportes que han realizado y que siguen realizando las mujeres afro en </w:t>
      </w:r>
      <w:r>
        <w:rPr>
          <w:rFonts w:ascii="Times New Roman" w:eastAsia="Times New Roman" w:hAnsi="Times New Roman" w:cs="Times New Roman"/>
          <w:sz w:val="24"/>
          <w:szCs w:val="24"/>
          <w:highlight w:val="white"/>
        </w:rPr>
        <w:t xml:space="preserve"> nuestra comunidad</w:t>
      </w:r>
      <w:r>
        <w:rPr>
          <w:rFonts w:ascii="Times New Roman" w:eastAsia="Times New Roman" w:hAnsi="Times New Roman" w:cs="Times New Roman"/>
          <w:color w:val="000000"/>
          <w:sz w:val="24"/>
          <w:szCs w:val="24"/>
          <w:highlight w:val="white"/>
        </w:rPr>
        <w:t>, en m</w:t>
      </w:r>
      <w:r>
        <w:rPr>
          <w:rFonts w:ascii="Times New Roman" w:eastAsia="Times New Roman" w:hAnsi="Times New Roman" w:cs="Times New Roman"/>
          <w:color w:val="000000"/>
          <w:sz w:val="24"/>
          <w:szCs w:val="24"/>
          <w:highlight w:val="white"/>
        </w:rPr>
        <w:t>ateria cultural y también</w:t>
      </w:r>
      <w:r>
        <w:rPr>
          <w:rFonts w:ascii="Times New Roman" w:eastAsia="Times New Roman" w:hAnsi="Times New Roman" w:cs="Times New Roman"/>
          <w:sz w:val="24"/>
          <w:szCs w:val="24"/>
          <w:highlight w:val="white"/>
        </w:rPr>
        <w:t xml:space="preserve"> en la construcción de la </w:t>
      </w:r>
      <w:r>
        <w:rPr>
          <w:rFonts w:ascii="Times New Roman" w:eastAsia="Times New Roman" w:hAnsi="Times New Roman" w:cs="Times New Roman"/>
          <w:color w:val="000000"/>
          <w:sz w:val="24"/>
          <w:szCs w:val="24"/>
          <w:highlight w:val="white"/>
        </w:rPr>
        <w:t xml:space="preserve"> identidad nacional. Promover la visibilización de las mujeres afro nos permite construir una sociedad más justa, contribuyendo a erradicar las prácticas racistas y sexistas, promoviendo a la vez que cada </w:t>
      </w:r>
      <w:r>
        <w:rPr>
          <w:rFonts w:ascii="Times New Roman" w:eastAsia="Times New Roman" w:hAnsi="Times New Roman" w:cs="Times New Roman"/>
          <w:color w:val="000000"/>
          <w:sz w:val="24"/>
          <w:szCs w:val="24"/>
          <w:highlight w:val="white"/>
        </w:rPr>
        <w:t>ciudadana afrodescendiente goce de la plenitud de sus derechos.</w:t>
      </w:r>
    </w:p>
    <w:p w:rsidR="006E1D1A" w:rsidRDefault="00C025B2">
      <w:pPr>
        <w:pBdr>
          <w:top w:val="nil"/>
          <w:left w:val="nil"/>
          <w:bottom w:val="nil"/>
          <w:right w:val="nil"/>
          <w:between w:val="nil"/>
        </w:pBdr>
        <w:shd w:val="clear" w:color="auto" w:fill="FFFFFF"/>
        <w:spacing w:after="36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ab/>
        <w:t xml:space="preserve">Por todo lo anteriormente expuesto, </w:t>
      </w:r>
      <w:r>
        <w:rPr>
          <w:rFonts w:ascii="Times New Roman" w:eastAsia="Times New Roman" w:hAnsi="Times New Roman" w:cs="Times New Roman"/>
          <w:color w:val="000000"/>
          <w:sz w:val="24"/>
          <w:szCs w:val="24"/>
        </w:rPr>
        <w:t>solicito a mis pares el acompañamiento del presente proyecto de resolución.</w:t>
      </w:r>
    </w:p>
    <w:p w:rsidR="006E1D1A" w:rsidRDefault="006E1D1A">
      <w:pPr>
        <w:pBdr>
          <w:top w:val="nil"/>
          <w:left w:val="nil"/>
          <w:bottom w:val="nil"/>
          <w:right w:val="nil"/>
          <w:between w:val="nil"/>
        </w:pBdr>
        <w:spacing w:line="360" w:lineRule="auto"/>
        <w:jc w:val="both"/>
        <w:rPr>
          <w:color w:val="2D2D2D"/>
          <w:sz w:val="24"/>
          <w:szCs w:val="24"/>
        </w:rPr>
      </w:pPr>
    </w:p>
    <w:sectPr w:rsidR="006E1D1A" w:rsidSect="000A55CA">
      <w:headerReference w:type="even" r:id="rId8"/>
      <w:headerReference w:type="default" r:id="rId9"/>
      <w:footerReference w:type="even" r:id="rId10"/>
      <w:footerReference w:type="default" r:id="rId11"/>
      <w:headerReference w:type="first" r:id="rId12"/>
      <w:footerReference w:type="first" r:id="rId13"/>
      <w:pgSz w:w="12240" w:h="20160" w:code="5"/>
      <w:pgMar w:top="1440" w:right="1440" w:bottom="1440" w:left="1440" w:header="720" w:footer="720" w:gutter="0"/>
      <w:pgNumType w:start="1"/>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025B2" w:rsidRDefault="00C025B2" w:rsidP="006E1D1A">
      <w:pPr>
        <w:spacing w:line="240" w:lineRule="auto"/>
      </w:pPr>
      <w:r>
        <w:separator/>
      </w:r>
    </w:p>
  </w:endnote>
  <w:endnote w:type="continuationSeparator" w:id="1">
    <w:p w:rsidR="00C025B2" w:rsidRDefault="00C025B2" w:rsidP="006E1D1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A" w:rsidRDefault="000A55CA">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7CB5" w:rsidRPr="001C19C4" w:rsidRDefault="00BC7CB5" w:rsidP="00BC7CB5">
    <w:pPr>
      <w:pStyle w:val="Piedepgina"/>
      <w:rPr>
        <w:color w:val="333333"/>
        <w:sz w:val="20"/>
      </w:rPr>
    </w:pPr>
    <w:r w:rsidRPr="001C19C4">
      <w:rPr>
        <w:color w:val="333333"/>
        <w:sz w:val="20"/>
      </w:rPr>
      <w:t xml:space="preserve">Último cambio: </w:t>
    </w:r>
    <w:fldSimple w:instr=" SAVEDATE  \* MERGEFORMAT ">
      <w:r w:rsidR="000A55CA" w:rsidRPr="000A55CA">
        <w:rPr>
          <w:noProof/>
          <w:color w:val="333333"/>
          <w:sz w:val="20"/>
        </w:rPr>
        <w:t>19/9/2022 15:22:00</w:t>
      </w:r>
    </w:fldSimple>
    <w:r w:rsidRPr="001C19C4">
      <w:rPr>
        <w:color w:val="333333"/>
        <w:sz w:val="20"/>
      </w:rPr>
      <w:t xml:space="preserve">  -  Cantidad de caracteres: </w:t>
    </w:r>
    <w:fldSimple w:instr=" NUMCHARS  \* MERGEFORMAT ">
      <w:r w:rsidR="000A55CA" w:rsidRPr="000A55CA">
        <w:rPr>
          <w:noProof/>
          <w:color w:val="333333"/>
          <w:sz w:val="20"/>
        </w:rPr>
        <w:t>3612</w:t>
      </w:r>
    </w:fldSimple>
    <w:r w:rsidRPr="001C19C4">
      <w:rPr>
        <w:color w:val="333333"/>
        <w:sz w:val="20"/>
      </w:rPr>
      <w:t xml:space="preserve"> - Cantidad de palabras: </w:t>
    </w:r>
    <w:fldSimple w:instr=" NUMWORDS  \* MERGEFORMAT ">
      <w:r w:rsidR="000A55CA" w:rsidRPr="000A55CA">
        <w:rPr>
          <w:noProof/>
          <w:color w:val="333333"/>
          <w:sz w:val="20"/>
        </w:rPr>
        <w:t>687</w:t>
      </w:r>
    </w:fldSimple>
  </w:p>
  <w:p w:rsidR="00BC7CB5" w:rsidRPr="001C19C4" w:rsidRDefault="00BC7CB5" w:rsidP="00BC7CB5">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0A55CA">
      <w:rPr>
        <w:rStyle w:val="Nmerodepgina"/>
        <w:noProof/>
        <w:color w:val="333333"/>
      </w:rPr>
      <w:t>1</w:t>
    </w:r>
    <w:r w:rsidRPr="001C19C4">
      <w:rPr>
        <w:rStyle w:val="Nmerodepgina"/>
        <w:color w:val="333333"/>
      </w:rPr>
      <w:fldChar w:fldCharType="end"/>
    </w:r>
    <w:r w:rsidRPr="001C19C4">
      <w:rPr>
        <w:rStyle w:val="Nmerodepgina"/>
        <w:color w:val="333333"/>
      </w:rPr>
      <w:t>/</w:t>
    </w:r>
    <w:fldSimple w:instr=" NUMPAGES  \* MERGEFORMAT ">
      <w:r w:rsidR="000A55CA" w:rsidRPr="000A55CA">
        <w:rPr>
          <w:rStyle w:val="Nmerodepgina"/>
          <w:noProof/>
          <w:color w:val="333333"/>
        </w:rPr>
        <w:t>2</w:t>
      </w:r>
    </w:fldSimple>
    <w:r w:rsidRPr="001C19C4">
      <w:rPr>
        <w:rStyle w:val="Nmerodepgina"/>
        <w:color w:val="333333"/>
      </w:rPr>
      <w:t xml:space="preserve"> </w:t>
    </w:r>
  </w:p>
  <w:p w:rsidR="006E1D1A" w:rsidRDefault="006E1D1A">
    <w:pPr>
      <w:pBdr>
        <w:top w:val="nil"/>
        <w:left w:val="nil"/>
        <w:bottom w:val="nil"/>
        <w:right w:val="nil"/>
        <w:between w:val="nil"/>
      </w:pBdr>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A" w:rsidRDefault="000A55CA">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025B2" w:rsidRDefault="00C025B2" w:rsidP="006E1D1A">
      <w:pPr>
        <w:spacing w:line="240" w:lineRule="auto"/>
      </w:pPr>
      <w:r>
        <w:separator/>
      </w:r>
    </w:p>
  </w:footnote>
  <w:footnote w:type="continuationSeparator" w:id="1">
    <w:p w:rsidR="00C025B2" w:rsidRDefault="00C025B2" w:rsidP="006E1D1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A" w:rsidRDefault="000A55CA">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D1A" w:rsidRDefault="00C025B2">
    <w:pPr>
      <w:pBdr>
        <w:top w:val="nil"/>
        <w:left w:val="nil"/>
        <w:bottom w:val="nil"/>
        <w:right w:val="nil"/>
        <w:between w:val="nil"/>
      </w:pBdr>
      <w:rPr>
        <w:color w:val="000000"/>
      </w:rPr>
    </w:pPr>
    <w:r>
      <w:rPr>
        <w:noProof/>
        <w:lang w:val="es-ES"/>
      </w:rPr>
      <w:drawing>
        <wp:anchor distT="114300" distB="114300" distL="114300" distR="114300" simplePos="0" relativeHeight="251658240" behindDoc="0" locked="0" layoutInCell="1" allowOverlap="1">
          <wp:simplePos x="0" y="0"/>
          <wp:positionH relativeFrom="column">
            <wp:posOffset>1828800</wp:posOffset>
          </wp:positionH>
          <wp:positionV relativeFrom="paragraph">
            <wp:posOffset>-257173</wp:posOffset>
          </wp:positionV>
          <wp:extent cx="2147888" cy="411736"/>
          <wp:effectExtent l="0" t="0" r="0" b="0"/>
          <wp:wrapSquare wrapText="bothSides" distT="114300" distB="11430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147888" cy="411736"/>
                  </a:xfrm>
                  <a:prstGeom prst="rect">
                    <a:avLst/>
                  </a:prstGeom>
                  <a:ln/>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55CA" w:rsidRDefault="000A55CA">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7C5B6F"/>
    <w:multiLevelType w:val="multilevel"/>
    <w:tmpl w:val="47F865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rsids>
    <w:rsidRoot w:val="006E1D1A"/>
    <w:rsid w:val="000A55CA"/>
    <w:rsid w:val="006E1D1A"/>
    <w:rsid w:val="00BC7CB5"/>
    <w:rsid w:val="00C025B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s-AR" w:eastAsia="es-E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C66"/>
  </w:style>
  <w:style w:type="paragraph" w:styleId="Ttulo1">
    <w:name w:val="heading 1"/>
    <w:basedOn w:val="normal0"/>
    <w:next w:val="normal0"/>
    <w:rsid w:val="00AF7A5D"/>
    <w:pPr>
      <w:keepNext/>
      <w:keepLines/>
      <w:spacing w:before="400" w:after="120"/>
      <w:outlineLvl w:val="0"/>
    </w:pPr>
    <w:rPr>
      <w:sz w:val="40"/>
      <w:szCs w:val="40"/>
    </w:rPr>
  </w:style>
  <w:style w:type="paragraph" w:styleId="Ttulo2">
    <w:name w:val="heading 2"/>
    <w:basedOn w:val="normal0"/>
    <w:next w:val="normal0"/>
    <w:rsid w:val="00AF7A5D"/>
    <w:pPr>
      <w:keepNext/>
      <w:keepLines/>
      <w:spacing w:before="360" w:after="120"/>
      <w:outlineLvl w:val="1"/>
    </w:pPr>
    <w:rPr>
      <w:sz w:val="32"/>
      <w:szCs w:val="32"/>
    </w:rPr>
  </w:style>
  <w:style w:type="paragraph" w:styleId="Ttulo3">
    <w:name w:val="heading 3"/>
    <w:basedOn w:val="normal0"/>
    <w:next w:val="normal0"/>
    <w:rsid w:val="00AF7A5D"/>
    <w:pPr>
      <w:keepNext/>
      <w:keepLines/>
      <w:spacing w:before="320" w:after="80"/>
      <w:outlineLvl w:val="2"/>
    </w:pPr>
    <w:rPr>
      <w:color w:val="434343"/>
      <w:sz w:val="28"/>
      <w:szCs w:val="28"/>
    </w:rPr>
  </w:style>
  <w:style w:type="paragraph" w:styleId="Ttulo4">
    <w:name w:val="heading 4"/>
    <w:basedOn w:val="normal0"/>
    <w:next w:val="normal0"/>
    <w:rsid w:val="00AF7A5D"/>
    <w:pPr>
      <w:keepNext/>
      <w:keepLines/>
      <w:spacing w:before="280" w:after="80"/>
      <w:outlineLvl w:val="3"/>
    </w:pPr>
    <w:rPr>
      <w:color w:val="666666"/>
      <w:sz w:val="24"/>
      <w:szCs w:val="24"/>
    </w:rPr>
  </w:style>
  <w:style w:type="paragraph" w:styleId="Ttulo5">
    <w:name w:val="heading 5"/>
    <w:basedOn w:val="normal0"/>
    <w:next w:val="normal0"/>
    <w:rsid w:val="00AF7A5D"/>
    <w:pPr>
      <w:keepNext/>
      <w:keepLines/>
      <w:spacing w:before="240" w:after="80"/>
      <w:outlineLvl w:val="4"/>
    </w:pPr>
    <w:rPr>
      <w:color w:val="666666"/>
    </w:rPr>
  </w:style>
  <w:style w:type="paragraph" w:styleId="Ttulo6">
    <w:name w:val="heading 6"/>
    <w:basedOn w:val="normal0"/>
    <w:next w:val="normal0"/>
    <w:rsid w:val="00AF7A5D"/>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rmal1">
    <w:name w:val="normal"/>
    <w:rsid w:val="006E1D1A"/>
  </w:style>
  <w:style w:type="table" w:customStyle="1" w:styleId="TableNormal">
    <w:name w:val="Table Normal"/>
    <w:rsid w:val="006E1D1A"/>
    <w:tblPr>
      <w:tblCellMar>
        <w:top w:w="0" w:type="dxa"/>
        <w:left w:w="0" w:type="dxa"/>
        <w:bottom w:w="0" w:type="dxa"/>
        <w:right w:w="0" w:type="dxa"/>
      </w:tblCellMar>
    </w:tblPr>
  </w:style>
  <w:style w:type="paragraph" w:styleId="Ttulo">
    <w:name w:val="Title"/>
    <w:basedOn w:val="normal0"/>
    <w:next w:val="normal0"/>
    <w:rsid w:val="00AF7A5D"/>
    <w:pPr>
      <w:keepNext/>
      <w:keepLines/>
      <w:spacing w:after="60"/>
    </w:pPr>
    <w:rPr>
      <w:sz w:val="52"/>
      <w:szCs w:val="52"/>
    </w:rPr>
  </w:style>
  <w:style w:type="paragraph" w:customStyle="1" w:styleId="normal0">
    <w:name w:val="normal"/>
    <w:rsid w:val="00AF7A5D"/>
  </w:style>
  <w:style w:type="table" w:customStyle="1" w:styleId="TableNormal0">
    <w:name w:val="Table Normal"/>
    <w:rsid w:val="00AF7A5D"/>
    <w:tblPr>
      <w:tblCellMar>
        <w:top w:w="0" w:type="dxa"/>
        <w:left w:w="0" w:type="dxa"/>
        <w:bottom w:w="0" w:type="dxa"/>
        <w:right w:w="0" w:type="dxa"/>
      </w:tblCellMar>
    </w:tblPr>
  </w:style>
  <w:style w:type="paragraph" w:styleId="Subttulo">
    <w:name w:val="Subtitle"/>
    <w:basedOn w:val="Normal"/>
    <w:next w:val="Normal"/>
    <w:rsid w:val="006E1D1A"/>
    <w:pPr>
      <w:keepNext/>
      <w:keepLines/>
      <w:pBdr>
        <w:top w:val="nil"/>
        <w:left w:val="nil"/>
        <w:bottom w:val="nil"/>
        <w:right w:val="nil"/>
        <w:between w:val="nil"/>
      </w:pBdr>
      <w:spacing w:after="320"/>
    </w:pPr>
    <w:rPr>
      <w:color w:val="666666"/>
      <w:sz w:val="30"/>
      <w:szCs w:val="30"/>
    </w:rPr>
  </w:style>
  <w:style w:type="character" w:styleId="Textoennegrita">
    <w:name w:val="Strong"/>
    <w:basedOn w:val="Fuentedeprrafopredeter"/>
    <w:uiPriority w:val="22"/>
    <w:qFormat/>
    <w:rsid w:val="00C87881"/>
    <w:rPr>
      <w:b/>
      <w:bCs/>
    </w:rPr>
  </w:style>
  <w:style w:type="paragraph" w:styleId="NormalWeb">
    <w:name w:val="Normal (Web)"/>
    <w:basedOn w:val="Normal"/>
    <w:uiPriority w:val="99"/>
    <w:unhideWhenUsed/>
    <w:rsid w:val="00287ED5"/>
    <w:pPr>
      <w:spacing w:before="100" w:beforeAutospacing="1" w:after="100" w:afterAutospacing="1" w:line="240" w:lineRule="auto"/>
    </w:pPr>
    <w:rPr>
      <w:rFonts w:ascii="Times New Roman" w:eastAsia="Times New Roman" w:hAnsi="Times New Roman" w:cs="Times New Roman"/>
      <w:sz w:val="24"/>
      <w:szCs w:val="24"/>
    </w:rPr>
  </w:style>
  <w:style w:type="paragraph" w:styleId="Encabezado">
    <w:name w:val="header"/>
    <w:basedOn w:val="Normal"/>
    <w:link w:val="EncabezadoCar"/>
    <w:uiPriority w:val="99"/>
    <w:semiHidden/>
    <w:unhideWhenUsed/>
    <w:rsid w:val="00FF38BD"/>
    <w:pPr>
      <w:tabs>
        <w:tab w:val="center" w:pos="4419"/>
        <w:tab w:val="right" w:pos="8838"/>
      </w:tabs>
      <w:spacing w:line="240" w:lineRule="auto"/>
    </w:pPr>
  </w:style>
  <w:style w:type="character" w:customStyle="1" w:styleId="EncabezadoCar">
    <w:name w:val="Encabezado Car"/>
    <w:basedOn w:val="Fuentedeprrafopredeter"/>
    <w:link w:val="Encabezado"/>
    <w:uiPriority w:val="99"/>
    <w:semiHidden/>
    <w:rsid w:val="00FF38BD"/>
  </w:style>
  <w:style w:type="paragraph" w:styleId="Piedepgina">
    <w:name w:val="footer"/>
    <w:basedOn w:val="Normal"/>
    <w:link w:val="PiedepginaCar"/>
    <w:unhideWhenUsed/>
    <w:rsid w:val="00FF38BD"/>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FF38BD"/>
  </w:style>
  <w:style w:type="character" w:styleId="Nmerodepgina">
    <w:name w:val="page number"/>
    <w:basedOn w:val="Fuentedeprrafopredeter"/>
    <w:rsid w:val="00BC7CB5"/>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QID9+Zwd976I6egm/DMpJ6SWg==">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687</Words>
  <Characters>3612</Characters>
  <Application>Microsoft Office Word</Application>
  <DocSecurity>0</DocSecurity>
  <Lines>61</Lines>
  <Paragraphs>18</Paragraphs>
  <ScaleCrop>false</ScaleCrop>
  <Company/>
  <LinksUpToDate>false</LinksUpToDate>
  <CharactersWithSpaces>4296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Mariela Papucci</dc:creator>
  <cp:lastModifiedBy>DGSI</cp:lastModifiedBy>
  <cp:revision>3</cp:revision>
  <dcterms:created xsi:type="dcterms:W3CDTF">2022-09-19T18:22:00Z</dcterms:created>
  <dcterms:modified xsi:type="dcterms:W3CDTF">2022-09-19T18:23:00Z</dcterms:modified>
</cp:coreProperties>
</file>