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0F14" w:rsidRPr="00A10F14" w:rsidRDefault="00A10F14" w:rsidP="00A10F14">
      <w:pPr>
        <w:spacing w:after="0" w:line="360" w:lineRule="auto"/>
        <w:jc w:val="center"/>
        <w:rPr>
          <w:rFonts w:ascii="Arial" w:eastAsia="Times New Roman" w:hAnsi="Arial" w:cs="Arial"/>
          <w:b/>
          <w:sz w:val="24"/>
          <w:szCs w:val="20"/>
          <w:lang w:val="es-MX" w:eastAsia="es-ES"/>
        </w:rPr>
      </w:pPr>
      <w:r w:rsidRPr="00A10F14">
        <w:rPr>
          <w:rFonts w:ascii="Arial" w:eastAsia="Times New Roman" w:hAnsi="Arial" w:cs="Arial"/>
          <w:b/>
          <w:sz w:val="24"/>
          <w:szCs w:val="20"/>
          <w:lang w:val="es-MX" w:eastAsia="es-ES"/>
        </w:rPr>
        <w:t>PROYECTO DE DECLARACIÓN</w:t>
      </w:r>
    </w:p>
    <w:p w:rsidR="00A10F14" w:rsidRPr="00A10F14" w:rsidRDefault="00A10F14" w:rsidP="00A10F14">
      <w:pPr>
        <w:spacing w:after="0" w:line="360" w:lineRule="auto"/>
        <w:jc w:val="both"/>
        <w:rPr>
          <w:rFonts w:ascii="Arial" w:eastAsia="Times New Roman" w:hAnsi="Arial" w:cs="Arial"/>
          <w:sz w:val="24"/>
          <w:szCs w:val="20"/>
          <w:lang w:val="es-MX" w:eastAsia="es-ES"/>
        </w:rPr>
      </w:pPr>
    </w:p>
    <w:p w:rsidR="00A10F14" w:rsidRPr="00A10F14" w:rsidRDefault="00A10F14" w:rsidP="00A10F14">
      <w:pPr>
        <w:rPr>
          <w:rFonts w:ascii="Arial" w:eastAsia="Times New Roman" w:hAnsi="Arial" w:cs="Arial"/>
          <w:sz w:val="24"/>
          <w:szCs w:val="24"/>
          <w:lang w:val="es-MX" w:eastAsia="es-ES"/>
        </w:rPr>
      </w:pPr>
      <w:r w:rsidRPr="00A10F14">
        <w:rPr>
          <w:rFonts w:ascii="Arial" w:eastAsia="Times New Roman" w:hAnsi="Arial" w:cs="Arial"/>
          <w:sz w:val="24"/>
          <w:szCs w:val="24"/>
          <w:lang w:val="es-MX" w:eastAsia="es-ES"/>
        </w:rPr>
        <w:t>La Legislatura de la Ciudad Autónoma de Buenos Aires rinde homenaje conmemora el 75º aniversario de la inauguración oficial del estadio “Tomás A. Ducó” del Club Atlético Huracán, edificio catalogado patrimonialmente con protección estructural.</w:t>
      </w:r>
    </w:p>
    <w:p w:rsidR="00A10F14" w:rsidRPr="00A10F14" w:rsidRDefault="00A10F14" w:rsidP="00A10F14">
      <w:pPr>
        <w:rPr>
          <w:rFonts w:ascii="Arial" w:eastAsia="Times New Roman" w:hAnsi="Arial" w:cs="Arial"/>
          <w:sz w:val="24"/>
          <w:szCs w:val="24"/>
          <w:lang w:val="es-MX" w:eastAsia="es-ES"/>
        </w:rPr>
      </w:pPr>
    </w:p>
    <w:p w:rsidR="00A10F14" w:rsidRPr="00A10F14" w:rsidRDefault="00A10F14" w:rsidP="00A10F14">
      <w:pPr>
        <w:rPr>
          <w:rFonts w:ascii="Arial" w:eastAsia="Times New Roman" w:hAnsi="Arial" w:cs="Arial"/>
          <w:b/>
          <w:sz w:val="24"/>
          <w:szCs w:val="20"/>
          <w:lang w:val="es-MX" w:eastAsia="es-ES"/>
        </w:rPr>
      </w:pPr>
      <w:r w:rsidRPr="00A10F14">
        <w:rPr>
          <w:rFonts w:ascii="Arial" w:eastAsia="Times New Roman" w:hAnsi="Arial" w:cs="Arial"/>
          <w:b/>
          <w:sz w:val="24"/>
          <w:szCs w:val="20"/>
          <w:lang w:val="es-MX" w:eastAsia="es-ES"/>
        </w:rPr>
        <w:br w:type="page"/>
      </w:r>
    </w:p>
    <w:p w:rsidR="00A10F14" w:rsidRPr="00A10F14" w:rsidRDefault="00A10F14" w:rsidP="00A10F14">
      <w:pPr>
        <w:tabs>
          <w:tab w:val="left" w:pos="2775"/>
        </w:tabs>
        <w:spacing w:after="0" w:line="240" w:lineRule="auto"/>
        <w:jc w:val="center"/>
        <w:rPr>
          <w:rFonts w:ascii="Arial" w:eastAsia="Times New Roman" w:hAnsi="Arial" w:cs="Arial"/>
          <w:b/>
          <w:sz w:val="24"/>
          <w:szCs w:val="20"/>
          <w:lang w:val="es-MX" w:eastAsia="es-ES"/>
        </w:rPr>
      </w:pPr>
      <w:r w:rsidRPr="00A10F14">
        <w:rPr>
          <w:rFonts w:ascii="Arial" w:eastAsia="Times New Roman" w:hAnsi="Arial" w:cs="Arial"/>
          <w:b/>
          <w:sz w:val="24"/>
          <w:szCs w:val="20"/>
          <w:lang w:val="es-MX" w:eastAsia="es-ES"/>
        </w:rPr>
        <w:lastRenderedPageBreak/>
        <w:t>FUNDAMENTOS</w:t>
      </w:r>
    </w:p>
    <w:p w:rsidR="00A10F14" w:rsidRPr="00A10F14" w:rsidRDefault="00A10F14" w:rsidP="00A10F14">
      <w:pPr>
        <w:spacing w:after="0" w:line="240" w:lineRule="auto"/>
        <w:jc w:val="both"/>
        <w:rPr>
          <w:rFonts w:ascii="Arial" w:eastAsia="Times New Roman" w:hAnsi="Arial" w:cs="Arial"/>
          <w:sz w:val="24"/>
          <w:szCs w:val="20"/>
          <w:lang w:val="es-MX" w:eastAsia="es-ES"/>
        </w:rPr>
      </w:pPr>
    </w:p>
    <w:p w:rsidR="00A10F14" w:rsidRPr="00A10F14" w:rsidRDefault="00A10F14" w:rsidP="00A10F14">
      <w:pPr>
        <w:spacing w:after="0" w:line="240" w:lineRule="auto"/>
        <w:jc w:val="both"/>
        <w:rPr>
          <w:rFonts w:ascii="Arial" w:eastAsia="Times New Roman" w:hAnsi="Arial" w:cs="Arial"/>
          <w:sz w:val="24"/>
          <w:szCs w:val="20"/>
          <w:lang w:val="es-MX" w:eastAsia="es-ES"/>
        </w:rPr>
      </w:pPr>
      <w:r w:rsidRPr="00A10F14">
        <w:rPr>
          <w:rFonts w:ascii="Arial" w:eastAsia="Times New Roman" w:hAnsi="Arial" w:cs="Arial"/>
          <w:sz w:val="24"/>
          <w:szCs w:val="20"/>
          <w:lang w:val="es-MX" w:eastAsia="es-ES"/>
        </w:rPr>
        <w:t xml:space="preserve">Señor Presidente: </w:t>
      </w:r>
    </w:p>
    <w:p w:rsidR="00A10F14" w:rsidRPr="00A10F14" w:rsidRDefault="00A10F14" w:rsidP="00A10F14">
      <w:pPr>
        <w:spacing w:after="0" w:line="240" w:lineRule="auto"/>
        <w:jc w:val="both"/>
        <w:rPr>
          <w:rFonts w:ascii="Arial" w:eastAsia="Times New Roman" w:hAnsi="Arial" w:cs="Arial"/>
          <w:sz w:val="24"/>
          <w:szCs w:val="20"/>
          <w:lang w:val="es-MX" w:eastAsia="es-ES"/>
        </w:rPr>
      </w:pPr>
    </w:p>
    <w:p w:rsidR="00A10F14" w:rsidRPr="00A10F14" w:rsidRDefault="00A10F14" w:rsidP="00A10F14">
      <w:pPr>
        <w:spacing w:after="120" w:line="240" w:lineRule="auto"/>
        <w:jc w:val="both"/>
        <w:rPr>
          <w:rFonts w:ascii="Arial" w:hAnsi="Arial" w:cs="Arial"/>
          <w:sz w:val="24"/>
          <w:szCs w:val="24"/>
        </w:rPr>
      </w:pPr>
      <w:r w:rsidRPr="00A10F14">
        <w:rPr>
          <w:rFonts w:ascii="Arial" w:hAnsi="Arial" w:cs="Arial"/>
          <w:sz w:val="24"/>
          <w:szCs w:val="24"/>
        </w:rPr>
        <w:t>Uno de los monumentos más importantes del fútbol argentino, el estadio Tomas Adolfo Ducó del Club A. Huracán festeja hoy sus 75 años de vida. El cemento del imponente Palacio Ducó y su césped fueron testigos privilegiados de las maravillas más destacadas de quienes primero fueron ídolos en el club que lleva la insigna del globo creado por Jorge Newbery en su pecho y luego estrellas del fútbol argentino. </w:t>
      </w:r>
      <w:r w:rsidRPr="00A10F14">
        <w:rPr>
          <w:rFonts w:ascii="Arial" w:hAnsi="Arial" w:cs="Arial"/>
          <w:sz w:val="24"/>
          <w:szCs w:val="24"/>
        </w:rPr>
        <w:br/>
        <w:t>Sus paredes pintadas de rojo y blanco transpiran el olor a barrio, de las calles de casa bajas, que supo contener el humo de "la quema" y el grito ensordecedor de hinchas identificados con la mejor gloria que puede tener un simpatizante: el club de sus amores, un hogar insustituible.</w:t>
      </w:r>
    </w:p>
    <w:p w:rsidR="00A10F14" w:rsidRPr="00A10F14" w:rsidRDefault="00A10F14" w:rsidP="00A10F14">
      <w:pPr>
        <w:spacing w:after="120" w:line="240" w:lineRule="auto"/>
        <w:jc w:val="both"/>
        <w:rPr>
          <w:rFonts w:ascii="Arial" w:hAnsi="Arial" w:cs="Arial"/>
          <w:sz w:val="24"/>
          <w:szCs w:val="24"/>
        </w:rPr>
      </w:pPr>
      <w:r w:rsidRPr="00A10F14">
        <w:rPr>
          <w:rFonts w:ascii="Arial" w:hAnsi="Arial" w:cs="Arial"/>
          <w:sz w:val="24"/>
          <w:szCs w:val="24"/>
        </w:rPr>
        <w:t xml:space="preserve">Fue el 7 de septiembre de 1947, en un partido del campeonato oficial, cuando el equipo local saltó por primera vez al campo de juego del nuevo estadio, ubicado en un predio que había sido adquirido en 1939, en la avenida Amancio Alcorta y Luna, que la institución alquilaba. </w:t>
      </w:r>
    </w:p>
    <w:p w:rsidR="00A10F14" w:rsidRPr="00A10F14" w:rsidRDefault="00A10F14" w:rsidP="00A10F14">
      <w:pPr>
        <w:spacing w:after="120" w:line="240" w:lineRule="auto"/>
        <w:jc w:val="both"/>
        <w:rPr>
          <w:rFonts w:ascii="Arial" w:hAnsi="Arial" w:cs="Arial"/>
          <w:sz w:val="24"/>
          <w:szCs w:val="24"/>
        </w:rPr>
      </w:pPr>
      <w:r w:rsidRPr="00A10F14">
        <w:rPr>
          <w:rFonts w:ascii="Arial" w:hAnsi="Arial" w:cs="Arial"/>
          <w:sz w:val="24"/>
          <w:szCs w:val="24"/>
        </w:rPr>
        <w:t>Ese día Huracán le ganó a Boca Jrs. 4 a 3, y al nuevo estadio aún le faltaban detalles de terminación y de tribunas que recién finalizaron dos años después, cuando se inauguró con toda la pompa en un cotejo internacional ante Peñarol de Montevideo, el 11 de septiembre de 1949.</w:t>
      </w:r>
    </w:p>
    <w:p w:rsidR="00A10F14" w:rsidRPr="00A10F14" w:rsidRDefault="00A10F14" w:rsidP="00A10F14">
      <w:pPr>
        <w:spacing w:after="120" w:line="240" w:lineRule="auto"/>
        <w:jc w:val="both"/>
        <w:rPr>
          <w:rFonts w:ascii="Arial" w:hAnsi="Arial" w:cs="Arial"/>
          <w:sz w:val="24"/>
          <w:szCs w:val="24"/>
        </w:rPr>
      </w:pPr>
      <w:r w:rsidRPr="00A10F14">
        <w:rPr>
          <w:rFonts w:ascii="Arial" w:hAnsi="Arial" w:cs="Arial"/>
          <w:sz w:val="24"/>
          <w:szCs w:val="24"/>
        </w:rPr>
        <w:t>El predio fue adquirido con un préstamo de 700 mil pesos que el club solicitó al Gobierno nacional y en 1942 la entidad pidió una extensión del crédito, esta vez por más de 1.500.000 pesos, con el cual se comenzaron las obras. El 10 de agosto de 1943 se inició la construcción de las tribunas, las que a principios de 1945, ya se asomaban orgullosas por sobre las casas de la barriada de Parque Patricios.</w:t>
      </w:r>
    </w:p>
    <w:p w:rsidR="00A10F14" w:rsidRPr="00A10F14" w:rsidRDefault="00A10F14" w:rsidP="00A10F14">
      <w:pPr>
        <w:jc w:val="center"/>
        <w:rPr>
          <w:rFonts w:ascii="Arial" w:hAnsi="Arial" w:cs="Arial"/>
          <w:sz w:val="24"/>
          <w:szCs w:val="24"/>
        </w:rPr>
      </w:pPr>
      <w:r w:rsidRPr="00A10F14">
        <w:rPr>
          <w:rFonts w:ascii="Arial" w:hAnsi="Arial" w:cs="Arial"/>
          <w:noProof/>
          <w:lang w:val="es-ES" w:eastAsia="es-ES"/>
        </w:rPr>
        <w:drawing>
          <wp:inline distT="0" distB="0" distL="0" distR="0">
            <wp:extent cx="4105275" cy="2524125"/>
            <wp:effectExtent l="19050" t="0" r="9525" b="0"/>
            <wp:docPr id="2" name="Imagen 2" descr="https://i0.wp.com/www.patriaquemera.com.ar/wp-content/uploads/2017/09/asdfasdfasdf.jpg?resize=286%2C176&amp;ss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https://i0.wp.com/www.patriaquemera.com.ar/wp-content/uploads/2017/09/asdfasdfasdf.jpg?resize=286%2C176&amp;ssl=1"/>
                    <pic:cNvPicPr>
                      <a:picLocks noChangeAspect="1" noChangeArrowheads="1"/>
                    </pic:cNvPicPr>
                  </pic:nvPicPr>
                  <pic:blipFill>
                    <a:blip r:embed="rId7"/>
                    <a:srcRect/>
                    <a:stretch>
                      <a:fillRect/>
                    </a:stretch>
                  </pic:blipFill>
                  <pic:spPr bwMode="auto">
                    <a:xfrm>
                      <a:off x="0" y="0"/>
                      <a:ext cx="4105275" cy="2524125"/>
                    </a:xfrm>
                    <a:prstGeom prst="rect">
                      <a:avLst/>
                    </a:prstGeom>
                    <a:noFill/>
                    <a:ln w="9525">
                      <a:noFill/>
                      <a:miter lim="800000"/>
                      <a:headEnd/>
                      <a:tailEnd/>
                    </a:ln>
                  </pic:spPr>
                </pic:pic>
              </a:graphicData>
            </a:graphic>
          </wp:inline>
        </w:drawing>
      </w:r>
    </w:p>
    <w:p w:rsidR="00A10F14" w:rsidRPr="00A10F14" w:rsidRDefault="00A10F14" w:rsidP="00A10F14">
      <w:pPr>
        <w:spacing w:after="120" w:line="240" w:lineRule="auto"/>
        <w:jc w:val="both"/>
        <w:rPr>
          <w:rFonts w:ascii="Arial" w:hAnsi="Arial" w:cs="Arial"/>
          <w:sz w:val="24"/>
          <w:szCs w:val="24"/>
        </w:rPr>
      </w:pPr>
      <w:r w:rsidRPr="00A10F14">
        <w:rPr>
          <w:rFonts w:ascii="Arial" w:hAnsi="Arial" w:cs="Arial"/>
          <w:sz w:val="24"/>
          <w:szCs w:val="24"/>
        </w:rPr>
        <w:t>Ese escenario fue el testigo y la caja de resonancia para los momentos gloriosos del club que se sintetizan en ese gran plantel que se coronara campeón en aquel inolvidable 1973, con el equipo soñado que cinceló César Luis Menotti y que integraron entre otros Houseman, Brindisi, Avallay, Babington, Carrascosa, Basile y Chabay.</w:t>
      </w:r>
    </w:p>
    <w:p w:rsidR="00A10F14" w:rsidRPr="00A10F14" w:rsidRDefault="00A10F14" w:rsidP="00A10F14">
      <w:pPr>
        <w:spacing w:after="120" w:line="240" w:lineRule="auto"/>
        <w:jc w:val="both"/>
        <w:rPr>
          <w:rFonts w:ascii="Arial" w:hAnsi="Arial" w:cs="Arial"/>
          <w:sz w:val="24"/>
          <w:szCs w:val="24"/>
        </w:rPr>
      </w:pPr>
      <w:r w:rsidRPr="00A10F14">
        <w:rPr>
          <w:rFonts w:ascii="Arial" w:hAnsi="Arial" w:cs="Arial"/>
          <w:sz w:val="24"/>
          <w:szCs w:val="24"/>
        </w:rPr>
        <w:t xml:space="preserve">Desde las magníficas tribunas del estadio, que tiene dos cabeceras populares con mas de 20 mil lugares cada una, junto a la tribuna Miravé y las plateas Alcorta alta y baja, que totalizan en la actualidad 48.314 lugares, los ojos de los hinchas durante 75 años vieron a grandes figuras que hicieron historias en el club o en el fútbol mundial como cuando pasó el mítico Santos de Pelé en </w:t>
      </w:r>
      <w:r w:rsidRPr="00A10F14">
        <w:rPr>
          <w:rFonts w:ascii="Arial" w:hAnsi="Arial" w:cs="Arial"/>
          <w:sz w:val="24"/>
          <w:szCs w:val="24"/>
        </w:rPr>
        <w:lastRenderedPageBreak/>
        <w:t>ocasión de estrenarse un nuevo sistema lumínico y vio jugar también al gran Diego Maradona.</w:t>
      </w:r>
    </w:p>
    <w:p w:rsidR="00A10F14" w:rsidRPr="00A10F14" w:rsidRDefault="00A10F14" w:rsidP="00A10F14">
      <w:pPr>
        <w:spacing w:after="120" w:line="240" w:lineRule="auto"/>
        <w:jc w:val="both"/>
        <w:rPr>
          <w:rFonts w:ascii="Arial" w:hAnsi="Arial" w:cs="Arial"/>
          <w:sz w:val="24"/>
          <w:szCs w:val="24"/>
        </w:rPr>
      </w:pPr>
      <w:r w:rsidRPr="00A10F14">
        <w:rPr>
          <w:rFonts w:ascii="Arial" w:hAnsi="Arial" w:cs="Arial"/>
          <w:sz w:val="24"/>
          <w:szCs w:val="24"/>
        </w:rPr>
        <w:t>Por allí pasaron Norberto "Tucho" Méndez, Adolfo Pedernera, Arsenio Erico, herminio Masantonio, Eduardo Ricagni, Néstor y Oscar Rossi, Loayza, Madinabeytía, Norberto Menéndez, Alfredo Obberti, Alberto Rendo, Héctor Veira, Narciso Dobal, entre tantos otros.</w:t>
      </w:r>
    </w:p>
    <w:p w:rsidR="00A10F14" w:rsidRPr="00A10F14" w:rsidRDefault="00A10F14" w:rsidP="00A10F14">
      <w:pPr>
        <w:spacing w:after="120" w:line="240" w:lineRule="auto"/>
        <w:jc w:val="both"/>
        <w:rPr>
          <w:rFonts w:ascii="Arial" w:hAnsi="Arial" w:cs="Arial"/>
          <w:sz w:val="24"/>
          <w:szCs w:val="24"/>
        </w:rPr>
      </w:pPr>
      <w:r w:rsidRPr="00A10F14">
        <w:rPr>
          <w:rFonts w:ascii="Arial" w:hAnsi="Arial" w:cs="Arial"/>
          <w:sz w:val="24"/>
          <w:szCs w:val="24"/>
        </w:rPr>
        <w:t>Más cerca en el tiempo, lo hicieron Claudio García, Claudio Morresi, Héctor Cúper, Claudio Borghi, Antonio Mohamed, Sergio Saturno, Hugo Morales, Marcos Gutiérrez, Osvaldo Ardiles, Casas, Lucho González, Daniel Montenegro, Pastore, Eduardo Domínguez, Patricio Toranzo, entre otros grandes.</w:t>
      </w:r>
    </w:p>
    <w:p w:rsidR="00A10F14" w:rsidRPr="00A10F14" w:rsidRDefault="00A10F14" w:rsidP="00A10F14">
      <w:pPr>
        <w:spacing w:after="120" w:line="240" w:lineRule="auto"/>
        <w:jc w:val="both"/>
        <w:rPr>
          <w:rFonts w:ascii="Arial" w:hAnsi="Arial" w:cs="Arial"/>
          <w:sz w:val="24"/>
          <w:szCs w:val="24"/>
        </w:rPr>
      </w:pPr>
      <w:r w:rsidRPr="00A10F14">
        <w:rPr>
          <w:rFonts w:ascii="Arial" w:hAnsi="Arial" w:cs="Arial"/>
          <w:sz w:val="24"/>
          <w:szCs w:val="24"/>
        </w:rPr>
        <w:t>En sus tribunas durante estas siete décadas, se reunieron familias completas, herencia de la misma pasión, políticos de comité y unidad básica, actores, tangueros y un hincha símbolo para el club, el recordado Oscar "Ringo" Bonavena, que paseaba su locura de chico grande.</w:t>
      </w:r>
    </w:p>
    <w:p w:rsidR="00A10F14" w:rsidRPr="00A10F14" w:rsidRDefault="00A10F14" w:rsidP="00A10F14">
      <w:pPr>
        <w:spacing w:after="120" w:line="240" w:lineRule="auto"/>
        <w:jc w:val="both"/>
        <w:rPr>
          <w:rFonts w:ascii="Arial" w:hAnsi="Arial" w:cs="Arial"/>
          <w:sz w:val="24"/>
          <w:szCs w:val="24"/>
        </w:rPr>
      </w:pPr>
      <w:r w:rsidRPr="00A10F14">
        <w:rPr>
          <w:rFonts w:ascii="Arial" w:hAnsi="Arial" w:cs="Arial"/>
          <w:sz w:val="24"/>
          <w:szCs w:val="24"/>
        </w:rPr>
        <w:t>En ese estadio cayeron todos los grandes y las goleadas que más se recuerdan ocurrieron, en 1954 a Racing (4-1), en 1958 a Independiente (5-1), en  1972 a Boca (5-1) y en 1973 a Racing (5-0) y a San Lorenzo (4-0).</w:t>
      </w:r>
    </w:p>
    <w:p w:rsidR="00A10F14" w:rsidRPr="00A10F14" w:rsidRDefault="00A10F14" w:rsidP="00A10F14">
      <w:pPr>
        <w:spacing w:after="120" w:line="240" w:lineRule="auto"/>
        <w:jc w:val="both"/>
        <w:rPr>
          <w:rFonts w:ascii="Arial" w:hAnsi="Arial" w:cs="Arial"/>
          <w:sz w:val="24"/>
          <w:szCs w:val="24"/>
        </w:rPr>
      </w:pPr>
      <w:r w:rsidRPr="00A10F14">
        <w:rPr>
          <w:rFonts w:ascii="Arial" w:hAnsi="Arial" w:cs="Arial"/>
          <w:sz w:val="24"/>
          <w:szCs w:val="24"/>
        </w:rPr>
        <w:t> Este mítico estadio acompañó alegrías y tristezas de Huracán, ofreció escenario al Equipo de los Sueños del 73 y a tantas pesadillas que derivaron en descensos de tiempos no tan lejano, también fue el que Hollywood reconoció a través de la película El secreto de sus ojos, ganadora del Oscar, en 2010.</w:t>
      </w:r>
    </w:p>
    <w:p w:rsidR="00A10F14" w:rsidRPr="00A10F14" w:rsidRDefault="00A10F14" w:rsidP="00A10F14">
      <w:pPr>
        <w:spacing w:after="120" w:line="240" w:lineRule="auto"/>
        <w:jc w:val="both"/>
        <w:rPr>
          <w:rFonts w:ascii="Arial" w:hAnsi="Arial" w:cs="Arial"/>
          <w:sz w:val="24"/>
          <w:szCs w:val="24"/>
        </w:rPr>
      </w:pPr>
      <w:r w:rsidRPr="00A10F14">
        <w:rPr>
          <w:rFonts w:ascii="Arial" w:hAnsi="Arial" w:cs="Arial"/>
          <w:sz w:val="24"/>
          <w:szCs w:val="24"/>
        </w:rPr>
        <w:t>Tiene un espacio de privilegio entre las bandas de rock, como si fuera un sinónimo de lo popular, antes lo fue el 2x4 y luego el rock, constituyéndose en cuna y epicentro de las grandes bandas. En 1993 Patricio Rey y los Redonditos de Ricota - Show Los Rendondos - eligieron el Palacio para presentarse por primera vez en una cancha . Colmaron dos estadios: 80.000 espectadores, marcando un antes y un después en la historia del rock argentino. También lo haría luego "La Renga" y “Los Piojos".</w:t>
      </w:r>
    </w:p>
    <w:p w:rsidR="00A10F14" w:rsidRPr="00A10F14" w:rsidRDefault="00A10F14" w:rsidP="00A10F14">
      <w:pPr>
        <w:spacing w:after="120" w:line="240" w:lineRule="auto"/>
        <w:jc w:val="both"/>
        <w:rPr>
          <w:rFonts w:ascii="Arial" w:hAnsi="Arial" w:cs="Arial"/>
          <w:sz w:val="24"/>
          <w:szCs w:val="24"/>
        </w:rPr>
      </w:pPr>
      <w:r w:rsidRPr="00A10F14">
        <w:rPr>
          <w:rFonts w:ascii="Arial" w:hAnsi="Arial" w:cs="Arial"/>
          <w:sz w:val="24"/>
          <w:szCs w:val="24"/>
        </w:rPr>
        <w:t>El edificio constituye un ejemplo único dentro de su tipo, ya que la forma característica del estadio de fútbol fue hábilmente combinada con el edificio ecléctico que lo rodea, conformando una armónica volumetría que cumple eficientemente con su función.</w:t>
      </w:r>
    </w:p>
    <w:p w:rsidR="00A10F14" w:rsidRPr="00A10F14" w:rsidRDefault="00A10F14" w:rsidP="00A10F14">
      <w:pPr>
        <w:spacing w:after="120" w:line="240" w:lineRule="auto"/>
        <w:jc w:val="both"/>
        <w:rPr>
          <w:rFonts w:ascii="Arial" w:hAnsi="Arial" w:cs="Arial"/>
          <w:sz w:val="24"/>
          <w:szCs w:val="24"/>
        </w:rPr>
      </w:pPr>
      <w:r w:rsidRPr="00A10F14">
        <w:rPr>
          <w:rFonts w:ascii="Arial" w:hAnsi="Arial" w:cs="Arial"/>
          <w:sz w:val="24"/>
          <w:szCs w:val="24"/>
        </w:rPr>
        <w:t>El 26 de octubre de 1941 ya habían comenzado con las obras del anhelado estadio de cemento. La obra fue dirigida por la firma CGO (Curutchet, Giraldez y Olivera, sus arquitectos), quienes, entre otras obras importantes, en 1941 habían sido los encargados de edificar la actual Casa de la Moneda. Su nombre: Tomás Adolfo Ducó, en reconocimiento y homenaje a su impulsor, por entonces, Presidente de la Institución.</w:t>
      </w:r>
    </w:p>
    <w:p w:rsidR="00A10F14" w:rsidRPr="00A10F14" w:rsidRDefault="00A10F14" w:rsidP="00A10F14">
      <w:pPr>
        <w:spacing w:after="120" w:line="240" w:lineRule="auto"/>
        <w:jc w:val="both"/>
        <w:rPr>
          <w:rFonts w:ascii="Arial" w:hAnsi="Arial" w:cs="Arial"/>
          <w:sz w:val="24"/>
          <w:szCs w:val="24"/>
        </w:rPr>
      </w:pPr>
      <w:r w:rsidRPr="00A10F14">
        <w:rPr>
          <w:rFonts w:ascii="Arial" w:hAnsi="Arial" w:cs="Arial"/>
          <w:sz w:val="24"/>
          <w:szCs w:val="24"/>
        </w:rPr>
        <w:t>Es importante destacar que el estadio alberga amplias  instalaciones construidas por el club y brindadas al estado para que las utilice como sede de una escuela primaria pública y gratuita.</w:t>
      </w:r>
    </w:p>
    <w:p w:rsidR="00A10F14" w:rsidRPr="00A10F14" w:rsidRDefault="00A10F14" w:rsidP="00A10F14">
      <w:pPr>
        <w:spacing w:after="120" w:line="240" w:lineRule="auto"/>
        <w:jc w:val="both"/>
        <w:rPr>
          <w:rFonts w:ascii="Arial" w:hAnsi="Arial" w:cs="Arial"/>
          <w:sz w:val="24"/>
          <w:szCs w:val="24"/>
        </w:rPr>
      </w:pPr>
      <w:r w:rsidRPr="00A10F14">
        <w:rPr>
          <w:rFonts w:ascii="Arial" w:hAnsi="Arial" w:cs="Arial"/>
          <w:sz w:val="24"/>
          <w:szCs w:val="24"/>
        </w:rPr>
        <w:t>También es reconocido el sector "Juan Vico" de la mutual de ex jugadores de Huracán,  primera entidad solidaria e ex deportistas.</w:t>
      </w:r>
    </w:p>
    <w:p w:rsidR="00A10F14" w:rsidRPr="00A10F14" w:rsidRDefault="00A10F14" w:rsidP="00A10F14">
      <w:pPr>
        <w:spacing w:after="120" w:line="240" w:lineRule="auto"/>
        <w:jc w:val="both"/>
        <w:rPr>
          <w:rFonts w:ascii="Arial" w:hAnsi="Arial" w:cs="Arial"/>
          <w:sz w:val="24"/>
          <w:szCs w:val="24"/>
        </w:rPr>
      </w:pPr>
      <w:bookmarkStart w:id="0" w:name="_GoBack"/>
      <w:bookmarkEnd w:id="0"/>
      <w:r w:rsidRPr="00A10F14">
        <w:rPr>
          <w:rFonts w:ascii="Arial" w:hAnsi="Arial" w:cs="Arial"/>
          <w:sz w:val="24"/>
          <w:szCs w:val="24"/>
        </w:rPr>
        <w:t>Por esta razón a fines del año 2007, en consideración a sus valores estéticos y arquitectónicos, que se integran con un entorno eminentemente urbano y a su rol protagónico en la vida socio -cultural del barrio de Parque Patricios y de toda la ciudad de Buenos Aires, fue declarado mediante ley aprobada por la Legislatura de la Ciudad Autónoma de Buenos Aires, como Patrimonio Histórico y de Protección Estructural de la Ciudad.</w:t>
      </w:r>
    </w:p>
    <w:p w:rsidR="00A10F14" w:rsidRPr="00A10F14" w:rsidRDefault="00A10F14" w:rsidP="00A10F14">
      <w:pPr>
        <w:spacing w:after="120" w:line="240" w:lineRule="auto"/>
        <w:jc w:val="both"/>
        <w:rPr>
          <w:rFonts w:ascii="Arial" w:hAnsi="Arial" w:cs="Arial"/>
          <w:sz w:val="24"/>
          <w:szCs w:val="24"/>
        </w:rPr>
      </w:pPr>
      <w:r w:rsidRPr="00A10F14">
        <w:rPr>
          <w:rFonts w:ascii="Arial" w:hAnsi="Arial" w:cs="Arial"/>
          <w:sz w:val="24"/>
          <w:szCs w:val="24"/>
        </w:rPr>
        <w:lastRenderedPageBreak/>
        <w:t>Hoy a setenta y cinco años de aquel acontecimiento saludamos a Huracán que conmemora la inauguración de su casa, protagonista y testigo de ese fútbol de barrio, que tiene olor a jazmines y glicinas y donde late la pasión del pueblo.</w:t>
      </w:r>
    </w:p>
    <w:p w:rsidR="00A10F14" w:rsidRPr="00A10F14" w:rsidRDefault="00A10F14" w:rsidP="00A10F14">
      <w:pPr>
        <w:rPr>
          <w:rFonts w:ascii="Arial" w:hAnsi="Arial" w:cs="Arial"/>
        </w:rPr>
      </w:pPr>
      <w:r w:rsidRPr="00A10F14">
        <w:rPr>
          <w:rFonts w:ascii="Arial" w:hAnsi="Arial" w:cs="Arial"/>
          <w:sz w:val="24"/>
          <w:szCs w:val="24"/>
        </w:rPr>
        <w:t>Por todo lo antes expuesto, solicito a mis pares la aprobación del presente proyecto de declaración.</w:t>
      </w:r>
    </w:p>
    <w:p w:rsidR="005E3C49" w:rsidRPr="00A10F14" w:rsidRDefault="005E3C49" w:rsidP="00E5658D">
      <w:pPr>
        <w:rPr>
          <w:rFonts w:ascii="Arial" w:hAnsi="Arial" w:cs="Arial"/>
        </w:rPr>
      </w:pPr>
    </w:p>
    <w:sectPr w:rsidR="005E3C49" w:rsidRPr="00A10F14" w:rsidSect="005E3C49">
      <w:headerReference w:type="default" r:id="rId8"/>
      <w:footerReference w:type="default" r:id="rId9"/>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83029" w:rsidRDefault="00C83029">
      <w:r>
        <w:separator/>
      </w:r>
    </w:p>
  </w:endnote>
  <w:endnote w:type="continuationSeparator" w:id="1">
    <w:p w:rsidR="00C83029" w:rsidRDefault="00C8302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1" w:name="Proyecto"/>
    <w:bookmarkEnd w:id="1"/>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A10F14" w:rsidRPr="00A10F14">
        <w:rPr>
          <w:noProof/>
          <w:color w:val="333333"/>
          <w:sz w:val="20"/>
        </w:rPr>
        <w:t>00/00/0000 0:00:00</w:t>
      </w:r>
    </w:fldSimple>
    <w:r w:rsidRPr="001C19C4">
      <w:rPr>
        <w:color w:val="333333"/>
        <w:sz w:val="20"/>
      </w:rPr>
      <w:t xml:space="preserve">  -  Cantidad de caracteres: </w:t>
    </w:r>
    <w:fldSimple w:instr=" NUMCHARS  \* MERGEFORMAT ">
      <w:r w:rsidR="00A10F14" w:rsidRPr="00A10F14">
        <w:rPr>
          <w:noProof/>
          <w:color w:val="333333"/>
          <w:sz w:val="20"/>
        </w:rPr>
        <w:t>5285</w:t>
      </w:r>
    </w:fldSimple>
    <w:r w:rsidRPr="001C19C4">
      <w:rPr>
        <w:color w:val="333333"/>
        <w:sz w:val="20"/>
      </w:rPr>
      <w:t xml:space="preserve"> - Cantidad de palabras: </w:t>
    </w:r>
    <w:fldSimple w:instr=" NUMWORDS  \* MERGEFORMAT ">
      <w:r w:rsidR="00A10F14" w:rsidRPr="00A10F14">
        <w:rPr>
          <w:noProof/>
          <w:color w:val="333333"/>
          <w:sz w:val="20"/>
        </w:rPr>
        <w:t>1055</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820A12" w:rsidRPr="001C19C4">
      <w:rPr>
        <w:rStyle w:val="Nmerodepgina"/>
        <w:color w:val="333333"/>
      </w:rPr>
      <w:fldChar w:fldCharType="begin"/>
    </w:r>
    <w:r w:rsidRPr="001C19C4">
      <w:rPr>
        <w:rStyle w:val="Nmerodepgina"/>
        <w:color w:val="333333"/>
      </w:rPr>
      <w:instrText xml:space="preserve"> PAGE </w:instrText>
    </w:r>
    <w:r w:rsidR="00820A12" w:rsidRPr="001C19C4">
      <w:rPr>
        <w:rStyle w:val="Nmerodepgina"/>
        <w:color w:val="333333"/>
      </w:rPr>
      <w:fldChar w:fldCharType="separate"/>
    </w:r>
    <w:r w:rsidR="00A10F14">
      <w:rPr>
        <w:rStyle w:val="Nmerodepgina"/>
        <w:noProof/>
        <w:color w:val="333333"/>
      </w:rPr>
      <w:t>2</w:t>
    </w:r>
    <w:r w:rsidR="00820A12" w:rsidRPr="001C19C4">
      <w:rPr>
        <w:rStyle w:val="Nmerodepgina"/>
        <w:color w:val="333333"/>
      </w:rPr>
      <w:fldChar w:fldCharType="end"/>
    </w:r>
    <w:r w:rsidRPr="001C19C4">
      <w:rPr>
        <w:rStyle w:val="Nmerodepgina"/>
        <w:color w:val="333333"/>
      </w:rPr>
      <w:t>/</w:t>
    </w:r>
    <w:fldSimple w:instr=" NUMPAGES  \* MERGEFORMAT ">
      <w:r w:rsidR="00A10F14" w:rsidRPr="00A10F14">
        <w:rPr>
          <w:rStyle w:val="Nmerodepgina"/>
          <w:noProof/>
          <w:color w:val="333333"/>
        </w:rPr>
        <w:t>4</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83029" w:rsidRDefault="00C83029">
      <w:r>
        <w:separator/>
      </w:r>
    </w:p>
  </w:footnote>
  <w:footnote w:type="continuationSeparator" w:id="1">
    <w:p w:rsidR="00C83029" w:rsidRDefault="00C8302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9218"/>
  </w:hdrShapeDefaults>
  <w:footnotePr>
    <w:footnote w:id="0"/>
    <w:footnote w:id="1"/>
  </w:footnotePr>
  <w:endnotePr>
    <w:endnote w:id="0"/>
    <w:endnote w:id="1"/>
  </w:endnotePr>
  <w:compat/>
  <w:rsids>
    <w:rsidRoot w:val="00C83029"/>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12"/>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0F14"/>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302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0F14"/>
    <w:pPr>
      <w:spacing w:after="200" w:line="276" w:lineRule="auto"/>
    </w:pPr>
    <w:rPr>
      <w:rFonts w:ascii="Calibri" w:eastAsia="Calibri" w:hAnsi="Calibr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spacing w:after="0" w:line="240" w:lineRule="auto"/>
      <w:ind w:left="3686"/>
      <w:jc w:val="both"/>
    </w:pPr>
    <w:rPr>
      <w:rFonts w:ascii="Times New Roman" w:eastAsia="Times New Roman" w:hAnsi="Times New Roman"/>
      <w:sz w:val="24"/>
      <w:szCs w:val="20"/>
      <w:lang w:val="es-ES_tradnl" w:eastAsia="es-ES"/>
    </w:rPr>
  </w:style>
  <w:style w:type="paragraph" w:styleId="Encabezado">
    <w:name w:val="header"/>
    <w:basedOn w:val="Normal"/>
    <w:link w:val="EncabezadoCar"/>
    <w:uiPriority w:val="99"/>
    <w:rsid w:val="00395843"/>
    <w:pPr>
      <w:tabs>
        <w:tab w:val="center" w:pos="4419"/>
        <w:tab w:val="right" w:pos="8838"/>
      </w:tabs>
      <w:spacing w:after="0" w:line="240" w:lineRule="auto"/>
      <w:jc w:val="both"/>
    </w:pPr>
    <w:rPr>
      <w:rFonts w:ascii="Times New Roman" w:eastAsia="Times New Roman" w:hAnsi="Times New Roman"/>
      <w:sz w:val="24"/>
      <w:szCs w:val="20"/>
      <w:lang w:val="es-ES_tradnl" w:eastAsia="es-ES"/>
    </w:rPr>
  </w:style>
  <w:style w:type="paragraph" w:styleId="Piedepgina">
    <w:name w:val="footer"/>
    <w:basedOn w:val="Normal"/>
    <w:rsid w:val="00395843"/>
    <w:pPr>
      <w:tabs>
        <w:tab w:val="center" w:pos="4419"/>
        <w:tab w:val="right" w:pos="8838"/>
      </w:tabs>
      <w:spacing w:after="0" w:line="240" w:lineRule="auto"/>
      <w:jc w:val="both"/>
    </w:pPr>
    <w:rPr>
      <w:rFonts w:ascii="Times New Roman" w:eastAsia="Times New Roman" w:hAnsi="Times New Roman"/>
      <w:sz w:val="24"/>
      <w:szCs w:val="20"/>
      <w:lang w:val="es-ES_tradnl" w:eastAsia="es-ES"/>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pPr>
      <w:spacing w:after="0" w:line="240" w:lineRule="auto"/>
      <w:jc w:val="both"/>
    </w:pPr>
    <w:rPr>
      <w:rFonts w:ascii="Tahoma" w:eastAsia="Times New Roman" w:hAnsi="Tahoma" w:cs="Tahoma"/>
      <w:sz w:val="16"/>
      <w:szCs w:val="16"/>
      <w:lang w:val="es-ES_tradnl" w:eastAsia="es-ES"/>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G:\Mi%20unidad\DESPACHO%20WECK\FORMATOS\LegislarOffLine.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LegislarOffLine.dotx</Template>
  <TotalTime>1</TotalTime>
  <Pages>4</Pages>
  <Words>1055</Words>
  <Characters>5285</Characters>
  <Application>Microsoft Office Word</Application>
  <DocSecurity>0</DocSecurity>
  <Lines>102</Lines>
  <Paragraphs>24</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6323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digomez</dc:creator>
  <cp:lastModifiedBy>digomez</cp:lastModifiedBy>
  <cp:revision>1</cp:revision>
  <cp:lastPrinted>2020-02-28T17:24:00Z</cp:lastPrinted>
  <dcterms:created xsi:type="dcterms:W3CDTF">2022-09-07T16:16:00Z</dcterms:created>
  <dcterms:modified xsi:type="dcterms:W3CDTF">2022-09-07T16:18:00Z</dcterms:modified>
</cp:coreProperties>
</file>