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29E" w:rsidRPr="00B276BB" w:rsidRDefault="00BD429E" w:rsidP="00BD429E">
      <w:pPr>
        <w:jc w:val="center"/>
        <w:rPr>
          <w:b/>
          <w:lang w:val="es-MX"/>
        </w:rPr>
      </w:pPr>
      <w:bookmarkStart w:id="0" w:name="PDeclaración"/>
      <w:bookmarkEnd w:id="0"/>
      <w:r w:rsidRPr="00B276BB">
        <w:rPr>
          <w:b/>
          <w:lang w:val="es-MX"/>
        </w:rPr>
        <w:t>PROYECTO DE DECLARACIÓN</w:t>
      </w:r>
    </w:p>
    <w:p w:rsidR="00BD429E" w:rsidRPr="00B276BB" w:rsidRDefault="00BD429E" w:rsidP="00BD429E">
      <w:pPr>
        <w:jc w:val="center"/>
        <w:rPr>
          <w:b/>
          <w:lang w:val="es-MX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B276BB">
        <w:rPr>
          <w:rFonts w:asciiTheme="minorHAnsi" w:hAnsiTheme="minorHAnsi"/>
          <w:sz w:val="22"/>
          <w:szCs w:val="22"/>
        </w:rPr>
        <w:t>La Legislatura de la Ciudad Autónoma de Buenos Aires conmemora el 50° aniversario de "Trelewazo", que tuvo lugar el 11 de o</w:t>
      </w:r>
      <w:r>
        <w:rPr>
          <w:rFonts w:asciiTheme="minorHAnsi" w:hAnsiTheme="minorHAnsi"/>
          <w:sz w:val="22"/>
          <w:szCs w:val="22"/>
        </w:rPr>
        <w:t>ctubre de 1972 en la ciudad de T</w:t>
      </w:r>
      <w:r w:rsidRPr="00B276BB">
        <w:rPr>
          <w:rFonts w:asciiTheme="minorHAnsi" w:hAnsiTheme="minorHAnsi"/>
          <w:sz w:val="22"/>
          <w:szCs w:val="22"/>
        </w:rPr>
        <w:t>relew donde el pueblo organizado marchó por la liberación de los presos políticos chubutenses detenidos durante la dictadura de Alejandro Agustín Lanusse.</w:t>
      </w: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B276BB">
        <w:rPr>
          <w:rFonts w:asciiTheme="minorHAnsi" w:hAnsiTheme="minorHAnsi"/>
          <w:sz w:val="22"/>
          <w:szCs w:val="22"/>
        </w:rPr>
        <w:tab/>
      </w:r>
      <w:r w:rsidRPr="00B276BB">
        <w:rPr>
          <w:rFonts w:asciiTheme="minorHAnsi" w:hAnsiTheme="minorHAnsi"/>
          <w:sz w:val="22"/>
          <w:szCs w:val="22"/>
        </w:rPr>
        <w:tab/>
      </w:r>
      <w:r w:rsidRPr="00B276BB">
        <w:rPr>
          <w:rFonts w:asciiTheme="minorHAnsi" w:hAnsiTheme="minorHAnsi"/>
          <w:sz w:val="22"/>
          <w:szCs w:val="22"/>
        </w:rPr>
        <w:tab/>
      </w:r>
      <w:r w:rsidRPr="00B276BB">
        <w:rPr>
          <w:rFonts w:asciiTheme="minorHAnsi" w:hAnsiTheme="minorHAnsi"/>
          <w:sz w:val="22"/>
          <w:szCs w:val="22"/>
        </w:rPr>
        <w:tab/>
      </w: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B276BB">
        <w:rPr>
          <w:rFonts w:asciiTheme="minorHAnsi" w:hAnsiTheme="minorHAnsi"/>
          <w:sz w:val="22"/>
          <w:szCs w:val="22"/>
        </w:rPr>
        <w:tab/>
      </w:r>
      <w:r w:rsidRPr="00B276BB">
        <w:rPr>
          <w:rFonts w:asciiTheme="minorHAnsi" w:hAnsiTheme="minorHAnsi"/>
          <w:sz w:val="22"/>
          <w:szCs w:val="22"/>
        </w:rPr>
        <w:tab/>
      </w:r>
      <w:r w:rsidRPr="00B276BB">
        <w:rPr>
          <w:rFonts w:asciiTheme="minorHAnsi" w:hAnsiTheme="minorHAnsi"/>
          <w:sz w:val="22"/>
          <w:szCs w:val="22"/>
        </w:rPr>
        <w:tab/>
      </w:r>
      <w:r w:rsidRPr="00B276BB">
        <w:rPr>
          <w:rFonts w:asciiTheme="minorHAnsi" w:hAnsiTheme="minorHAnsi"/>
          <w:sz w:val="22"/>
          <w:szCs w:val="22"/>
        </w:rPr>
        <w:tab/>
      </w:r>
      <w:r w:rsidRPr="00B276BB">
        <w:rPr>
          <w:rFonts w:asciiTheme="minorHAnsi" w:hAnsiTheme="minorHAnsi"/>
          <w:sz w:val="22"/>
          <w:szCs w:val="22"/>
        </w:rPr>
        <w:tab/>
      </w:r>
    </w:p>
    <w:p w:rsidR="00BD429E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D429E" w:rsidRDefault="00BD429E" w:rsidP="00BD429E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BD429E">
        <w:rPr>
          <w:rFonts w:asciiTheme="minorHAnsi" w:hAnsiTheme="minorHAnsi"/>
          <w:b/>
          <w:sz w:val="22"/>
          <w:szCs w:val="22"/>
        </w:rPr>
        <w:lastRenderedPageBreak/>
        <w:t>FUNDAMENTOS</w:t>
      </w: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BD429E" w:rsidRPr="00BD429E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BD429E">
        <w:rPr>
          <w:rFonts w:asciiTheme="minorHAnsi" w:hAnsiTheme="minorHAnsi"/>
          <w:sz w:val="22"/>
          <w:szCs w:val="22"/>
        </w:rPr>
        <w:t>Sr. Presidente:</w:t>
      </w: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  <w:u w:val="single"/>
        </w:rPr>
      </w:pPr>
    </w:p>
    <w:p w:rsidR="00BD429E" w:rsidRPr="00B276BB" w:rsidRDefault="00BD429E" w:rsidP="00BD429E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 w:cs="Arial"/>
          <w:sz w:val="22"/>
          <w:szCs w:val="22"/>
          <w:shd w:val="clear" w:color="auto" w:fill="FFFFFF"/>
        </w:rPr>
      </w:pPr>
      <w:r w:rsidRPr="00B276BB">
        <w:rPr>
          <w:rFonts w:asciiTheme="minorHAnsi" w:hAnsiTheme="minorHAnsi"/>
          <w:sz w:val="22"/>
          <w:szCs w:val="22"/>
        </w:rPr>
        <w:t xml:space="preserve">Se cumplen 50 años del llamado "Trelewazo", </w:t>
      </w:r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>una serie de protestas sociales y huelgas masivas ocurridas el </w:t>
      </w:r>
      <w:hyperlink r:id="rId8" w:tooltip="11 de octubre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11 de octubre</w:t>
        </w:r>
      </w:hyperlink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> de</w:t>
      </w:r>
      <w:r w:rsidRPr="00BD429E">
        <w:rPr>
          <w:rFonts w:asciiTheme="minorHAnsi" w:hAnsiTheme="minorHAnsi" w:cs="Arial"/>
          <w:sz w:val="22"/>
          <w:szCs w:val="22"/>
          <w:shd w:val="clear" w:color="auto" w:fill="FFFFFF"/>
        </w:rPr>
        <w:t> </w:t>
      </w:r>
      <w:hyperlink r:id="rId9" w:tooltip="1972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1972</w:t>
        </w:r>
      </w:hyperlink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> en la ciudad de </w:t>
      </w:r>
      <w:hyperlink r:id="rId10" w:tooltip="Trelew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Trelew</w:t>
        </w:r>
      </w:hyperlink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>, </w:t>
      </w:r>
      <w:hyperlink r:id="rId11" w:tooltip="Provincia del Chubut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provincia del Chubut</w:t>
        </w:r>
      </w:hyperlink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, durante la dictadura militar </w:t>
      </w:r>
      <w:r>
        <w:rPr>
          <w:rFonts w:asciiTheme="minorHAnsi" w:hAnsiTheme="minorHAnsi" w:cs="Arial"/>
          <w:sz w:val="22"/>
          <w:szCs w:val="22"/>
          <w:shd w:val="clear" w:color="auto" w:fill="FFFFFF"/>
        </w:rPr>
        <w:t>de entonces,</w:t>
      </w:r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conocida como </w:t>
      </w:r>
      <w:hyperlink r:id="rId12" w:tooltip="Revolución Argentina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Revolución Argentina</w:t>
        </w:r>
      </w:hyperlink>
      <w:r w:rsidRPr="00BD429E">
        <w:rPr>
          <w:rFonts w:asciiTheme="minorHAnsi" w:hAnsiTheme="minorHAnsi" w:cs="Arial"/>
          <w:sz w:val="22"/>
          <w:szCs w:val="22"/>
          <w:shd w:val="clear" w:color="auto" w:fill="FFFFFF"/>
        </w:rPr>
        <w:t>.</w:t>
      </w:r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Los principales objetivos de esta protesta fueron liberar a los </w:t>
      </w:r>
      <w:r>
        <w:rPr>
          <w:rFonts w:asciiTheme="minorHAnsi" w:hAnsiTheme="minorHAnsi" w:cs="Arial"/>
          <w:sz w:val="22"/>
          <w:szCs w:val="22"/>
          <w:shd w:val="clear" w:color="auto" w:fill="FFFFFF"/>
        </w:rPr>
        <w:t>presos</w:t>
      </w:r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en el </w:t>
      </w:r>
      <w:hyperlink r:id="rId13" w:tooltip="Cárcel de Devoto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penal de Villa Devoto</w:t>
        </w:r>
      </w:hyperlink>
      <w:r>
        <w:t xml:space="preserve"> </w:t>
      </w:r>
      <w:r w:rsidRPr="00F95342">
        <w:rPr>
          <w:rFonts w:asciiTheme="minorHAnsi" w:hAnsiTheme="minorHAnsi" w:cstheme="minorHAnsi"/>
          <w:sz w:val="22"/>
          <w:szCs w:val="22"/>
        </w:rPr>
        <w:t>detenidos</w:t>
      </w:r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> por la "Operación Vigilante", reclamar justicia por las víctimas de la </w:t>
      </w:r>
      <w:hyperlink r:id="rId14" w:tooltip="Masacre de Trelew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Masacre de Trelew</w:t>
        </w:r>
      </w:hyperlink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> y pedir por la liberación a </w:t>
      </w:r>
      <w:hyperlink r:id="rId15" w:tooltip="Mario Abel Amaya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Mario Abel Amaya</w:t>
        </w:r>
      </w:hyperlink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>. Formó parte de puebladas similares sucedidas durante la dictadura militar como el </w:t>
      </w:r>
      <w:hyperlink r:id="rId16" w:tooltip="Rosariazo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rosariazo</w:t>
        </w:r>
      </w:hyperlink>
      <w:r w:rsidRPr="00BD429E">
        <w:rPr>
          <w:rFonts w:asciiTheme="minorHAnsi" w:hAnsiTheme="minorHAnsi" w:cs="Arial"/>
          <w:sz w:val="22"/>
          <w:szCs w:val="22"/>
          <w:shd w:val="clear" w:color="auto" w:fill="FFFFFF"/>
        </w:rPr>
        <w:t>, </w:t>
      </w:r>
      <w:hyperlink r:id="rId17" w:tooltip="Cordobazo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cordobazo</w:t>
        </w:r>
      </w:hyperlink>
      <w:r w:rsidRPr="00BD429E">
        <w:rPr>
          <w:rFonts w:asciiTheme="minorHAnsi" w:hAnsiTheme="minorHAnsi" w:cs="Arial"/>
          <w:sz w:val="22"/>
          <w:szCs w:val="22"/>
          <w:shd w:val="clear" w:color="auto" w:fill="FFFFFF"/>
        </w:rPr>
        <w:t>, </w:t>
      </w:r>
      <w:hyperlink r:id="rId18" w:tooltip="Mendozazo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mendozazo</w:t>
        </w:r>
      </w:hyperlink>
      <w:r w:rsidRPr="00BD429E">
        <w:rPr>
          <w:rFonts w:asciiTheme="minorHAnsi" w:hAnsiTheme="minorHAnsi" w:cs="Arial"/>
          <w:sz w:val="22"/>
          <w:szCs w:val="22"/>
          <w:shd w:val="clear" w:color="auto" w:fill="FFFFFF"/>
        </w:rPr>
        <w:t>, </w:t>
      </w:r>
      <w:hyperlink r:id="rId19" w:tooltip="Tucumanazo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tucumanazo</w:t>
        </w:r>
      </w:hyperlink>
      <w:r w:rsidRPr="00BD429E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, </w:t>
      </w:r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>etc.</w:t>
      </w:r>
    </w:p>
    <w:p w:rsidR="00BD429E" w:rsidRDefault="00BD429E" w:rsidP="00BD429E">
      <w:pPr>
        <w:pStyle w:val="NormalWeb"/>
        <w:shd w:val="clear" w:color="auto" w:fill="FFFFFF"/>
        <w:spacing w:before="0" w:after="0" w:line="276" w:lineRule="auto"/>
        <w:rPr>
          <w:rFonts w:asciiTheme="minorHAnsi" w:hAnsiTheme="minorHAnsi" w:cs="Arial"/>
          <w:sz w:val="22"/>
          <w:szCs w:val="22"/>
          <w:shd w:val="clear" w:color="auto" w:fill="FFFFFF"/>
        </w:rPr>
      </w:pPr>
      <w:r>
        <w:rPr>
          <w:rFonts w:asciiTheme="minorHAnsi" w:hAnsiTheme="minorHAnsi" w:cs="Arial"/>
          <w:sz w:val="22"/>
          <w:szCs w:val="22"/>
        </w:rPr>
        <w:t>A casi dos meses de</w:t>
      </w:r>
      <w:r w:rsidRPr="00B276BB">
        <w:rPr>
          <w:rFonts w:asciiTheme="minorHAnsi" w:hAnsiTheme="minorHAnsi" w:cs="Arial"/>
          <w:sz w:val="22"/>
          <w:szCs w:val="22"/>
        </w:rPr>
        <w:t> </w:t>
      </w:r>
      <w:hyperlink r:id="rId20" w:tgtFrame="_blank" w:history="1">
        <w:r w:rsidRPr="00BD429E">
          <w:rPr>
            <w:rStyle w:val="Hipervnculo"/>
            <w:rFonts w:asciiTheme="minorHAnsi" w:hAnsiTheme="minorHAnsi"/>
            <w:color w:val="auto"/>
            <w:sz w:val="22"/>
            <w:szCs w:val="22"/>
            <w:u w:val="none"/>
          </w:rPr>
          <w:t>la masacre del 22 de agosto</w:t>
        </w:r>
      </w:hyperlink>
      <w:r w:rsidRPr="00BD429E">
        <w:rPr>
          <w:rFonts w:asciiTheme="minorHAnsi" w:hAnsiTheme="minorHAnsi" w:cs="Arial"/>
          <w:sz w:val="22"/>
          <w:szCs w:val="22"/>
        </w:rPr>
        <w:t>,</w:t>
      </w:r>
      <w:r w:rsidRPr="00B276BB">
        <w:rPr>
          <w:rFonts w:asciiTheme="minorHAnsi" w:hAnsiTheme="minorHAnsi" w:cs="Arial"/>
          <w:sz w:val="22"/>
          <w:szCs w:val="22"/>
        </w:rPr>
        <w:t xml:space="preserve"> las Fuerzas Armadas y de Seguridad realizaron más de 100 allanamientos en las ciudades de Trelew, Rawson, Puerto Pirámide y Puerto Madryn. </w:t>
      </w:r>
      <w:r>
        <w:rPr>
          <w:rFonts w:asciiTheme="minorHAnsi" w:hAnsiTheme="minorHAnsi" w:cs="Arial"/>
          <w:sz w:val="22"/>
          <w:szCs w:val="22"/>
          <w:shd w:val="clear" w:color="auto" w:fill="FFFFFF"/>
        </w:rPr>
        <w:t>Durante dichos</w:t>
      </w:r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procedimientos detuvieron a 16 vecinos</w:t>
      </w:r>
      <w:r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y vecinas</w:t>
      </w:r>
      <w:r w:rsidRPr="00B276BB">
        <w:rPr>
          <w:rFonts w:asciiTheme="minorHAnsi" w:hAnsiTheme="minorHAnsi" w:cs="Arial"/>
          <w:sz w:val="22"/>
          <w:szCs w:val="22"/>
          <w:shd w:val="clear" w:color="auto" w:fill="FFFFFF"/>
        </w:rPr>
        <w:t>, miembros de la Comisión de Solidaridad y apoderados de presos políticos, y los trasladaron al Penal de Devoto en la Capital Federal.</w:t>
      </w:r>
    </w:p>
    <w:p w:rsidR="00BD429E" w:rsidRPr="00B276BB" w:rsidRDefault="00BD429E" w:rsidP="00BD429E">
      <w:pPr>
        <w:pStyle w:val="NormalWeb"/>
        <w:shd w:val="clear" w:color="auto" w:fill="FFFFFF"/>
        <w:spacing w:before="120" w:beforeAutospacing="0" w:after="120" w:afterAutospacing="0" w:line="276" w:lineRule="auto"/>
        <w:rPr>
          <w:rFonts w:asciiTheme="minorHAnsi" w:hAnsiTheme="minorHAnsi" w:cs="Arial"/>
          <w:sz w:val="22"/>
          <w:szCs w:val="22"/>
        </w:rPr>
      </w:pPr>
      <w:r w:rsidRPr="00B276BB">
        <w:rPr>
          <w:rFonts w:asciiTheme="minorHAnsi" w:hAnsiTheme="minorHAnsi" w:cs="Arial"/>
          <w:sz w:val="22"/>
          <w:szCs w:val="22"/>
        </w:rPr>
        <w:t>El operativo comenzó a las 4 a. m., cuando militares bloquearon las rutas de acceso a la ciudad (tanto de Trelew, como también de Rawson y </w:t>
      </w:r>
      <w:hyperlink r:id="rId21" w:tooltip="Puerto Madryn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</w:rPr>
          <w:t>Puerto Madryn</w:t>
        </w:r>
      </w:hyperlink>
      <w:r w:rsidRPr="00B276BB">
        <w:rPr>
          <w:rFonts w:asciiTheme="minorHAnsi" w:hAnsiTheme="minorHAnsi" w:cs="Arial"/>
          <w:sz w:val="22"/>
          <w:szCs w:val="22"/>
        </w:rPr>
        <w:t xml:space="preserve">) y ocuparon las calles. La indignación </w:t>
      </w:r>
      <w:r>
        <w:rPr>
          <w:rFonts w:asciiTheme="minorHAnsi" w:hAnsiTheme="minorHAnsi" w:cs="Arial"/>
          <w:sz w:val="22"/>
          <w:szCs w:val="22"/>
        </w:rPr>
        <w:t>del pueblo</w:t>
      </w:r>
      <w:r w:rsidRPr="00B276BB">
        <w:rPr>
          <w:rFonts w:asciiTheme="minorHAnsi" w:hAnsiTheme="minorHAnsi" w:cs="Arial"/>
          <w:sz w:val="22"/>
          <w:szCs w:val="22"/>
        </w:rPr>
        <w:t xml:space="preserve"> aumentó cuando las autoridades militares difundieron comunicados en los que afirmaban que el operativo contaba con la colaboración y la aprobación de la gente.</w:t>
      </w:r>
    </w:p>
    <w:p w:rsidR="00BD429E" w:rsidRDefault="00BD429E" w:rsidP="00BD429E">
      <w:pPr>
        <w:pStyle w:val="NormalWeb"/>
        <w:shd w:val="clear" w:color="auto" w:fill="FFFFFF"/>
        <w:spacing w:before="120" w:beforeAutospacing="0" w:after="120" w:afterAutospacing="0" w:line="276" w:lineRule="auto"/>
        <w:rPr>
          <w:rFonts w:asciiTheme="minorHAnsi" w:hAnsiTheme="minorHAnsi" w:cs="Arial"/>
          <w:sz w:val="22"/>
          <w:szCs w:val="22"/>
        </w:rPr>
      </w:pPr>
      <w:r w:rsidRPr="00B276BB">
        <w:rPr>
          <w:rFonts w:asciiTheme="minorHAnsi" w:hAnsiTheme="minorHAnsi" w:cs="Arial"/>
          <w:sz w:val="22"/>
          <w:szCs w:val="22"/>
        </w:rPr>
        <w:t xml:space="preserve">Luego de este y otros sucesos similares, el 11 de octubre y durante cinco días, alrededor de seis mil vecinos </w:t>
      </w:r>
      <w:r>
        <w:rPr>
          <w:rFonts w:asciiTheme="minorHAnsi" w:hAnsiTheme="minorHAnsi" w:cs="Arial"/>
          <w:sz w:val="22"/>
          <w:szCs w:val="22"/>
        </w:rPr>
        <w:t xml:space="preserve">y vecinas </w:t>
      </w:r>
      <w:r w:rsidRPr="00B276BB">
        <w:rPr>
          <w:rFonts w:asciiTheme="minorHAnsi" w:hAnsiTheme="minorHAnsi" w:cs="Arial"/>
          <w:sz w:val="22"/>
          <w:szCs w:val="22"/>
        </w:rPr>
        <w:t>de la ciudad y otras del </w:t>
      </w:r>
      <w:hyperlink r:id="rId22" w:tooltip="Valle inferior del río Chubut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</w:rPr>
          <w:t>valle inferior del río Chubut</w:t>
        </w:r>
      </w:hyperlink>
      <w:r>
        <w:rPr>
          <w:rFonts w:asciiTheme="minorHAnsi" w:hAnsiTheme="minorHAnsi" w:cs="Arial"/>
          <w:sz w:val="22"/>
          <w:szCs w:val="22"/>
        </w:rPr>
        <w:t> marcharon hacia e</w:t>
      </w:r>
      <w:r w:rsidRPr="00B276BB">
        <w:rPr>
          <w:rFonts w:asciiTheme="minorHAnsi" w:hAnsiTheme="minorHAnsi" w:cs="Arial"/>
          <w:sz w:val="22"/>
          <w:szCs w:val="22"/>
        </w:rPr>
        <w:t>l epic</w:t>
      </w:r>
      <w:r>
        <w:rPr>
          <w:rFonts w:asciiTheme="minorHAnsi" w:hAnsiTheme="minorHAnsi" w:cs="Arial"/>
          <w:sz w:val="22"/>
          <w:szCs w:val="22"/>
        </w:rPr>
        <w:t>entro de las manifestaciones,</w:t>
      </w:r>
      <w:r w:rsidRPr="00B276BB">
        <w:rPr>
          <w:rFonts w:asciiTheme="minorHAnsi" w:hAnsiTheme="minorHAnsi" w:cs="Arial"/>
          <w:sz w:val="22"/>
          <w:szCs w:val="22"/>
        </w:rPr>
        <w:t xml:space="preserve"> el Teatro Español.</w:t>
      </w:r>
    </w:p>
    <w:p w:rsidR="00BD429E" w:rsidRPr="00B276BB" w:rsidRDefault="00BD429E" w:rsidP="00BD429E">
      <w:pPr>
        <w:pStyle w:val="NormalWeb"/>
        <w:shd w:val="clear" w:color="auto" w:fill="FFFFFF"/>
        <w:spacing w:before="120" w:beforeAutospacing="0" w:after="120" w:afterAutospacing="0" w:line="276" w:lineRule="auto"/>
        <w:rPr>
          <w:rFonts w:asciiTheme="minorHAnsi" w:hAnsiTheme="minorHAnsi" w:cs="Arial"/>
          <w:sz w:val="22"/>
          <w:szCs w:val="22"/>
        </w:rPr>
      </w:pPr>
      <w:r w:rsidRPr="00B276BB">
        <w:rPr>
          <w:rFonts w:asciiTheme="minorHAnsi" w:hAnsiTheme="minorHAnsi" w:cs="Arial"/>
          <w:sz w:val="22"/>
          <w:szCs w:val="22"/>
        </w:rPr>
        <w:t xml:space="preserve"> En la tarde del día 11 se realizó una reunión en el </w:t>
      </w:r>
      <w:r>
        <w:rPr>
          <w:rFonts w:asciiTheme="minorHAnsi" w:hAnsiTheme="minorHAnsi" w:cs="Arial"/>
          <w:sz w:val="22"/>
          <w:szCs w:val="22"/>
        </w:rPr>
        <w:t xml:space="preserve">mencionado </w:t>
      </w:r>
      <w:r w:rsidRPr="00B276BB">
        <w:rPr>
          <w:rFonts w:asciiTheme="minorHAnsi" w:hAnsiTheme="minorHAnsi" w:cs="Arial"/>
          <w:sz w:val="22"/>
          <w:szCs w:val="22"/>
        </w:rPr>
        <w:t>teatro donde se resolvió tomar el sitio y </w:t>
      </w:r>
      <w:r w:rsidRPr="00B276BB">
        <w:rPr>
          <w:rFonts w:asciiTheme="minorHAnsi" w:hAnsiTheme="minorHAnsi" w:cs="Arial"/>
          <w:i/>
          <w:iCs/>
          <w:sz w:val="22"/>
          <w:szCs w:val="22"/>
        </w:rPr>
        <w:t>"designar una Comisión Ejecutiva para dialogar"</w:t>
      </w:r>
      <w:r w:rsidRPr="00B276BB">
        <w:rPr>
          <w:rFonts w:asciiTheme="minorHAnsi" w:hAnsiTheme="minorHAnsi" w:cs="Arial"/>
          <w:sz w:val="22"/>
          <w:szCs w:val="22"/>
        </w:rPr>
        <w:t xml:space="preserve">. </w:t>
      </w:r>
      <w:r>
        <w:rPr>
          <w:rFonts w:asciiTheme="minorHAnsi" w:hAnsiTheme="minorHAnsi" w:cs="Arial"/>
          <w:sz w:val="22"/>
          <w:szCs w:val="22"/>
        </w:rPr>
        <w:t xml:space="preserve">A su vez, </w:t>
      </w:r>
      <w:r w:rsidRPr="00B276BB">
        <w:rPr>
          <w:rFonts w:asciiTheme="minorHAnsi" w:hAnsiTheme="minorHAnsi" w:cs="Arial"/>
          <w:sz w:val="22"/>
          <w:szCs w:val="22"/>
        </w:rPr>
        <w:t xml:space="preserve"> varios abogados se juntaron en un estudio jurídico para ayudar a los detenidos, hubo huelgas y los comercios cerraron. Entre los manifestantes, había comerciantes, docentes, obreros, estudiantes, desocupados, etc. </w:t>
      </w:r>
    </w:p>
    <w:p w:rsidR="00BD429E" w:rsidRDefault="00BD429E" w:rsidP="00BD429E">
      <w:pPr>
        <w:pStyle w:val="NormalWeb"/>
        <w:shd w:val="clear" w:color="auto" w:fill="FFFFFF"/>
        <w:spacing w:before="120" w:beforeAutospacing="0" w:after="120" w:afterAutospacing="0" w:line="276" w:lineRule="auto"/>
        <w:rPr>
          <w:rFonts w:asciiTheme="minorHAnsi" w:hAnsiTheme="minorHAnsi" w:cs="Arial"/>
          <w:sz w:val="22"/>
          <w:szCs w:val="22"/>
        </w:rPr>
      </w:pPr>
      <w:r w:rsidRPr="00B276BB">
        <w:rPr>
          <w:rFonts w:asciiTheme="minorHAnsi" w:hAnsiTheme="minorHAnsi" w:cs="Arial"/>
          <w:sz w:val="22"/>
          <w:szCs w:val="22"/>
        </w:rPr>
        <w:t>Como consecuencia, el gobernador militar </w:t>
      </w:r>
      <w:hyperlink r:id="rId23" w:tooltip="Jorge Alfredo Costa (aún no redactado)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</w:rPr>
          <w:t>Jorge Alfredo Costa</w:t>
        </w:r>
      </w:hyperlink>
      <w:r w:rsidRPr="00B276BB">
        <w:rPr>
          <w:rFonts w:asciiTheme="minorHAnsi" w:hAnsiTheme="minorHAnsi" w:cs="Arial"/>
          <w:sz w:val="22"/>
          <w:szCs w:val="22"/>
        </w:rPr>
        <w:t> debió viajar a </w:t>
      </w:r>
      <w:hyperlink r:id="rId24" w:tooltip="Buenos Aires" w:history="1">
        <w:r w:rsidRPr="00BD429E">
          <w:rPr>
            <w:rStyle w:val="Hipervnculo"/>
            <w:rFonts w:asciiTheme="minorHAnsi" w:hAnsiTheme="minorHAnsi" w:cs="Arial"/>
            <w:color w:val="auto"/>
            <w:sz w:val="22"/>
            <w:szCs w:val="22"/>
            <w:u w:val="none"/>
          </w:rPr>
          <w:t>Buenos Aires</w:t>
        </w:r>
      </w:hyperlink>
      <w:r w:rsidRPr="00B276BB">
        <w:rPr>
          <w:rFonts w:asciiTheme="minorHAnsi" w:hAnsiTheme="minorHAnsi" w:cs="Arial"/>
          <w:sz w:val="22"/>
          <w:szCs w:val="22"/>
        </w:rPr>
        <w:t>, donde se entrevistó con las autoridades</w:t>
      </w:r>
      <w:r>
        <w:rPr>
          <w:rFonts w:asciiTheme="minorHAnsi" w:hAnsiTheme="minorHAnsi" w:cs="Arial"/>
          <w:sz w:val="22"/>
          <w:szCs w:val="22"/>
        </w:rPr>
        <w:t xml:space="preserve"> nacionales</w:t>
      </w:r>
      <w:r w:rsidRPr="00B276BB">
        <w:rPr>
          <w:rFonts w:asciiTheme="minorHAnsi" w:hAnsiTheme="minorHAnsi" w:cs="Arial"/>
          <w:sz w:val="22"/>
          <w:szCs w:val="22"/>
        </w:rPr>
        <w:t>, regresando a la provincia cuando fueron liberados los primeros detenidos. Finalmente, se logró liberar a los 16 chubutenses detenidos en Villa Devoto (el último de ellos, el día 18 de noviembre).</w:t>
      </w:r>
    </w:p>
    <w:p w:rsidR="00BD429E" w:rsidRDefault="00BD429E" w:rsidP="00BD429E">
      <w:pPr>
        <w:pStyle w:val="NormalWeb"/>
        <w:shd w:val="clear" w:color="auto" w:fill="FFFFFF"/>
        <w:spacing w:before="120" w:beforeAutospacing="0" w:after="120" w:afterAutospacing="0" w:line="276" w:lineRule="auto"/>
        <w:rPr>
          <w:rFonts w:asciiTheme="minorHAnsi" w:hAnsiTheme="minorHAnsi" w:cs="Arial"/>
          <w:sz w:val="22"/>
          <w:szCs w:val="22"/>
        </w:rPr>
      </w:pPr>
    </w:p>
    <w:p w:rsidR="00BD429E" w:rsidRDefault="00BD429E" w:rsidP="00BD429E">
      <w:pPr>
        <w:pStyle w:val="NormalWeb"/>
        <w:shd w:val="clear" w:color="auto" w:fill="FFFFFF"/>
        <w:spacing w:before="120" w:beforeAutospacing="0" w:after="120" w:afterAutospacing="0"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A 50 años de la organización popular que liberó a los 16 detenidos chubutenses y marcó para siempre la historia de un pueblo que se organiza ante las violaciones de los derechos humanos cometidas por dictaduras cívico-militares.</w:t>
      </w:r>
    </w:p>
    <w:p w:rsidR="00BD429E" w:rsidRDefault="00BD429E" w:rsidP="00BD429E">
      <w:pPr>
        <w:pStyle w:val="NormalWeb"/>
        <w:shd w:val="clear" w:color="auto" w:fill="FFFFFF"/>
        <w:spacing w:before="120" w:beforeAutospacing="0" w:after="120" w:afterAutospacing="0" w:line="276" w:lineRule="auto"/>
        <w:rPr>
          <w:rFonts w:asciiTheme="minorHAnsi" w:hAnsiTheme="minorHAnsi" w:cs="Arial"/>
          <w:sz w:val="22"/>
          <w:szCs w:val="22"/>
        </w:rPr>
      </w:pPr>
    </w:p>
    <w:p w:rsidR="00BD429E" w:rsidRPr="00B276BB" w:rsidRDefault="00BD429E" w:rsidP="00BD429E">
      <w:pPr>
        <w:pStyle w:val="NormalWeb"/>
        <w:shd w:val="clear" w:color="auto" w:fill="FFFFFF"/>
        <w:spacing w:before="120" w:beforeAutospacing="0" w:after="120" w:afterAutospacing="0" w:line="276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Por lo aquí antes expuesto es que solicito el acompañamiento de mis pares en el presente proyecto de declaración.</w:t>
      </w:r>
    </w:p>
    <w:p w:rsidR="00B626EB" w:rsidRPr="000C5ED5" w:rsidRDefault="00B626EB" w:rsidP="00B626EB">
      <w:pPr>
        <w:rPr>
          <w:rFonts w:ascii="Arial" w:hAnsi="Arial" w:cs="Arial"/>
          <w:sz w:val="24"/>
          <w:szCs w:val="24"/>
        </w:rPr>
      </w:pPr>
    </w:p>
    <w:sectPr w:rsidR="00B626EB" w:rsidRPr="000C5ED5" w:rsidSect="005E3C49">
      <w:headerReference w:type="default" r:id="rId25"/>
      <w:footerReference w:type="default" r:id="rId26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401" w:rsidRDefault="00A52401">
      <w:r>
        <w:separator/>
      </w:r>
    </w:p>
  </w:endnote>
  <w:endnote w:type="continuationSeparator" w:id="1">
    <w:p w:rsidR="00A52401" w:rsidRDefault="00A524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D429E" w:rsidRPr="00BD429E">
        <w:rPr>
          <w:noProof/>
          <w:color w:val="333333"/>
          <w:sz w:val="20"/>
        </w:rPr>
        <w:t>20/04/2022 10:41:00</w:t>
      </w:r>
      <w:r w:rsidR="00BD429E">
        <w:rPr>
          <w:noProof/>
        </w:rPr>
        <w:t xml:space="preserve"> a.m.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D429E" w:rsidRPr="00BD429E">
        <w:rPr>
          <w:noProof/>
          <w:color w:val="333333"/>
          <w:sz w:val="20"/>
        </w:rPr>
        <w:t>2559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D429E" w:rsidRPr="00BD429E">
        <w:rPr>
          <w:noProof/>
          <w:color w:val="333333"/>
          <w:sz w:val="20"/>
        </w:rPr>
        <w:t>487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CB159F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B159F" w:rsidRPr="001C19C4">
      <w:rPr>
        <w:rStyle w:val="Nmerodepgina"/>
        <w:color w:val="333333"/>
      </w:rPr>
      <w:fldChar w:fldCharType="separate"/>
    </w:r>
    <w:r w:rsidR="00BD429E">
      <w:rPr>
        <w:rStyle w:val="Nmerodepgina"/>
        <w:noProof/>
        <w:color w:val="333333"/>
      </w:rPr>
      <w:t>2</w:t>
    </w:r>
    <w:r w:rsidR="00CB159F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D429E" w:rsidRPr="00BD429E">
        <w:rPr>
          <w:rStyle w:val="Nmerodepgina"/>
          <w:noProof/>
          <w:color w:val="333333"/>
        </w:rPr>
        <w:t>2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401" w:rsidRDefault="00A52401">
      <w:r>
        <w:separator/>
      </w:r>
    </w:p>
  </w:footnote>
  <w:footnote w:type="continuationSeparator" w:id="1">
    <w:p w:rsidR="00A52401" w:rsidRDefault="00A524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360DC"/>
    <w:multiLevelType w:val="hybridMultilevel"/>
    <w:tmpl w:val="29482C9A"/>
    <w:lvl w:ilvl="0" w:tplc="2C0A000F">
      <w:start w:val="1"/>
      <w:numFmt w:val="decimal"/>
      <w:lvlText w:val="%1."/>
      <w:lvlJc w:val="left"/>
      <w:pPr>
        <w:ind w:left="1428" w:hanging="360"/>
      </w:pPr>
    </w:lvl>
    <w:lvl w:ilvl="1" w:tplc="2C0A0019" w:tentative="1">
      <w:start w:val="1"/>
      <w:numFmt w:val="lowerLetter"/>
      <w:lvlText w:val="%2."/>
      <w:lvlJc w:val="left"/>
      <w:pPr>
        <w:ind w:left="2148" w:hanging="360"/>
      </w:pPr>
    </w:lvl>
    <w:lvl w:ilvl="2" w:tplc="2C0A001B" w:tentative="1">
      <w:start w:val="1"/>
      <w:numFmt w:val="lowerRoman"/>
      <w:lvlText w:val="%3."/>
      <w:lvlJc w:val="right"/>
      <w:pPr>
        <w:ind w:left="2868" w:hanging="180"/>
      </w:pPr>
    </w:lvl>
    <w:lvl w:ilvl="3" w:tplc="2C0A000F" w:tentative="1">
      <w:start w:val="1"/>
      <w:numFmt w:val="decimal"/>
      <w:lvlText w:val="%4."/>
      <w:lvlJc w:val="left"/>
      <w:pPr>
        <w:ind w:left="3588" w:hanging="360"/>
      </w:pPr>
    </w:lvl>
    <w:lvl w:ilvl="4" w:tplc="2C0A0019" w:tentative="1">
      <w:start w:val="1"/>
      <w:numFmt w:val="lowerLetter"/>
      <w:lvlText w:val="%5."/>
      <w:lvlJc w:val="left"/>
      <w:pPr>
        <w:ind w:left="4308" w:hanging="360"/>
      </w:pPr>
    </w:lvl>
    <w:lvl w:ilvl="5" w:tplc="2C0A001B" w:tentative="1">
      <w:start w:val="1"/>
      <w:numFmt w:val="lowerRoman"/>
      <w:lvlText w:val="%6."/>
      <w:lvlJc w:val="right"/>
      <w:pPr>
        <w:ind w:left="5028" w:hanging="180"/>
      </w:pPr>
    </w:lvl>
    <w:lvl w:ilvl="6" w:tplc="2C0A000F" w:tentative="1">
      <w:start w:val="1"/>
      <w:numFmt w:val="decimal"/>
      <w:lvlText w:val="%7."/>
      <w:lvlJc w:val="left"/>
      <w:pPr>
        <w:ind w:left="5748" w:hanging="360"/>
      </w:pPr>
    </w:lvl>
    <w:lvl w:ilvl="7" w:tplc="2C0A0019" w:tentative="1">
      <w:start w:val="1"/>
      <w:numFmt w:val="lowerLetter"/>
      <w:lvlText w:val="%8."/>
      <w:lvlJc w:val="left"/>
      <w:pPr>
        <w:ind w:left="6468" w:hanging="360"/>
      </w:pPr>
    </w:lvl>
    <w:lvl w:ilvl="8" w:tplc="2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68113E5"/>
    <w:multiLevelType w:val="multilevel"/>
    <w:tmpl w:val="B37875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B626E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294E"/>
    <w:rsid w:val="00077DAC"/>
    <w:rsid w:val="00080837"/>
    <w:rsid w:val="00081FFF"/>
    <w:rsid w:val="00085D07"/>
    <w:rsid w:val="000B2290"/>
    <w:rsid w:val="000B306A"/>
    <w:rsid w:val="000C5ED5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C13A5"/>
    <w:rsid w:val="003C1433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68C5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07F8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11D4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2401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26EB"/>
    <w:rsid w:val="00B85EE2"/>
    <w:rsid w:val="00BD429E"/>
    <w:rsid w:val="00BF2B7B"/>
    <w:rsid w:val="00BF71C2"/>
    <w:rsid w:val="00C264AD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B159F"/>
    <w:rsid w:val="00CC20B0"/>
    <w:rsid w:val="00CE163F"/>
    <w:rsid w:val="00CE2F33"/>
    <w:rsid w:val="00D21279"/>
    <w:rsid w:val="00D43AA2"/>
    <w:rsid w:val="00D518DB"/>
    <w:rsid w:val="00D55ECB"/>
    <w:rsid w:val="00D67721"/>
    <w:rsid w:val="00D758CE"/>
    <w:rsid w:val="00D76A86"/>
    <w:rsid w:val="00D927D4"/>
    <w:rsid w:val="00D95E6A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0173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A420E"/>
    <w:rsid w:val="00FB4F49"/>
    <w:rsid w:val="00FD07F5"/>
    <w:rsid w:val="00FD4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6E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B626EB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s-ES_tradnl"/>
    </w:rPr>
  </w:style>
  <w:style w:type="paragraph" w:customStyle="1" w:styleId="normal0">
    <w:name w:val="normal"/>
    <w:rsid w:val="000C5ED5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uiPriority w:val="99"/>
    <w:unhideWhenUsed/>
    <w:rsid w:val="00CE2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BD42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wikipedia.org/wiki/11_de_octubre" TargetMode="External"/><Relationship Id="rId13" Type="http://schemas.openxmlformats.org/officeDocument/2006/relationships/hyperlink" Target="https://es.wikipedia.org/wiki/C%C3%A1rcel_de_Devoto" TargetMode="External"/><Relationship Id="rId18" Type="http://schemas.openxmlformats.org/officeDocument/2006/relationships/hyperlink" Target="https://es.wikipedia.org/wiki/Mendozazo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es.wikipedia.org/wiki/Puerto_Madryn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s.wikipedia.org/wiki/Revoluci%C3%B3n_Argentina" TargetMode="External"/><Relationship Id="rId17" Type="http://schemas.openxmlformats.org/officeDocument/2006/relationships/hyperlink" Target="https://es.wikipedia.org/wiki/Cordobazo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s.wikipedia.org/wiki/Rosariazo" TargetMode="External"/><Relationship Id="rId20" Type="http://schemas.openxmlformats.org/officeDocument/2006/relationships/hyperlink" Target="https://canal12web.com/a-49-anos-de-la-masacre-de-trelew-la-memoria-del-pueblo-siempre-sera-mas-larga-que-las-astucias-de-quienes-los-reprimen-tomas-e-martinez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.wikipedia.org/wiki/Provincia_del_Chubut" TargetMode="External"/><Relationship Id="rId24" Type="http://schemas.openxmlformats.org/officeDocument/2006/relationships/hyperlink" Target="https://es.wikipedia.org/wiki/Buenos_Air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s.wikipedia.org/wiki/Mario_Abel_Amaya" TargetMode="External"/><Relationship Id="rId23" Type="http://schemas.openxmlformats.org/officeDocument/2006/relationships/hyperlink" Target="https://es.wikipedia.org/w/index.php?title=Jorge_Alfredo_Costa&amp;action=edit&amp;redlink=1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es.wikipedia.org/wiki/Trelew" TargetMode="External"/><Relationship Id="rId19" Type="http://schemas.openxmlformats.org/officeDocument/2006/relationships/hyperlink" Target="https://es.wikipedia.org/wiki/Tucumanaz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wikipedia.org/wiki/1972" TargetMode="External"/><Relationship Id="rId14" Type="http://schemas.openxmlformats.org/officeDocument/2006/relationships/hyperlink" Target="https://es.wikipedia.org/wiki/Masacre_de_Trelew" TargetMode="External"/><Relationship Id="rId22" Type="http://schemas.openxmlformats.org/officeDocument/2006/relationships/hyperlink" Target="https://es.wikipedia.org/wiki/Valle_inferior_del_r%C3%ADo_Chubut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wnloads\ib2awgx1el_1587595525.1739%20(1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653D9-FF71-49F9-AB55-BE52D92E8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(16).dotx</Template>
  <TotalTime>0</TotalTime>
  <Pages>2</Pages>
  <Words>487</Words>
  <Characters>2559</Characters>
  <Application>Microsoft Office Word</Application>
  <DocSecurity>0</DocSecurity>
  <Lines>84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himontenegro</cp:lastModifiedBy>
  <cp:revision>2</cp:revision>
  <cp:lastPrinted>2020-02-28T17:24:00Z</cp:lastPrinted>
  <dcterms:created xsi:type="dcterms:W3CDTF">2022-05-13T14:41:00Z</dcterms:created>
  <dcterms:modified xsi:type="dcterms:W3CDTF">2022-05-13T14:41:00Z</dcterms:modified>
</cp:coreProperties>
</file>