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56" w:rsidRPr="00C01BA0" w:rsidRDefault="00B92B56" w:rsidP="00B92B56">
      <w:pPr>
        <w:ind w:left="708" w:hanging="708"/>
        <w:rPr>
          <w:rFonts w:ascii="Arial" w:hAnsi="Arial" w:cs="Arial"/>
          <w:b/>
          <w:szCs w:val="24"/>
          <w:lang w:val="es-MX"/>
        </w:rPr>
      </w:pPr>
      <w:r w:rsidRPr="00C01BA0">
        <w:rPr>
          <w:rFonts w:ascii="Arial" w:hAnsi="Arial" w:cs="Arial"/>
          <w:b/>
          <w:szCs w:val="24"/>
          <w:lang w:val="es-MX"/>
        </w:rPr>
        <w:t>Legislatura de la Ciudad Autónoma de Buenos Aires</w:t>
      </w:r>
    </w:p>
    <w:p w:rsidR="00B92B56" w:rsidRPr="00C01BA0" w:rsidRDefault="00B92B56" w:rsidP="00B92B56">
      <w:pPr>
        <w:rPr>
          <w:rFonts w:ascii="Arial" w:hAnsi="Arial" w:cs="Arial"/>
          <w:b/>
          <w:szCs w:val="24"/>
          <w:lang w:val="es-MX"/>
        </w:rPr>
      </w:pPr>
    </w:p>
    <w:p w:rsidR="00B92B56" w:rsidRPr="00C01BA0" w:rsidRDefault="00B92B56" w:rsidP="00B92B56">
      <w:pPr>
        <w:rPr>
          <w:rFonts w:ascii="Arial" w:hAnsi="Arial" w:cs="Arial"/>
          <w:b/>
          <w:szCs w:val="24"/>
          <w:lang w:val="es-MX"/>
        </w:rPr>
      </w:pPr>
      <w:r w:rsidRPr="00C01BA0">
        <w:rPr>
          <w:rFonts w:ascii="Arial" w:hAnsi="Arial" w:cs="Arial"/>
          <w:b/>
          <w:szCs w:val="24"/>
          <w:lang w:val="es-MX"/>
        </w:rPr>
        <w:t>Visto:</w:t>
      </w:r>
    </w:p>
    <w:p w:rsidR="00B92B56" w:rsidRPr="00C01BA0" w:rsidRDefault="00B92B56" w:rsidP="00B92B56">
      <w:pPr>
        <w:rPr>
          <w:rFonts w:ascii="Arial" w:hAnsi="Arial" w:cs="Arial"/>
          <w:szCs w:val="24"/>
        </w:rPr>
      </w:pPr>
    </w:p>
    <w:p w:rsidR="00B92B56" w:rsidRPr="00C01BA0" w:rsidRDefault="00B92B56" w:rsidP="00B92B56">
      <w:pPr>
        <w:autoSpaceDE w:val="0"/>
        <w:autoSpaceDN w:val="0"/>
        <w:adjustRightInd w:val="0"/>
        <w:spacing w:line="360" w:lineRule="auto"/>
        <w:rPr>
          <w:rFonts w:ascii="Arial" w:eastAsia="Calibri" w:hAnsi="Arial" w:cs="Arial"/>
          <w:iCs/>
          <w:szCs w:val="24"/>
          <w:lang w:val="es-ES" w:eastAsia="es-AR"/>
        </w:rPr>
      </w:pPr>
      <w:r w:rsidRPr="00C01BA0">
        <w:rPr>
          <w:rFonts w:ascii="Arial" w:hAnsi="Arial" w:cs="Arial"/>
          <w:szCs w:val="24"/>
          <w:lang w:val="es-MX"/>
        </w:rPr>
        <w:t>El expediente 1378-D-22 de autoría del Diputado Morresi, Claudio, referido a</w:t>
      </w:r>
      <w:r w:rsidRPr="00C01BA0">
        <w:rPr>
          <w:rFonts w:ascii="Arial" w:eastAsia="Arial Unicode MS" w:hAnsi="Arial" w:cs="Arial"/>
          <w:szCs w:val="24"/>
        </w:rPr>
        <w:t xml:space="preserve"> declarar de interés para</w:t>
      </w:r>
      <w:r w:rsidRPr="00C01BA0">
        <w:rPr>
          <w:rFonts w:ascii="Arial" w:eastAsia="Arial Unicode MS" w:hAnsi="Arial" w:cs="Arial"/>
          <w:szCs w:val="24"/>
          <w:lang w:val="es-ES" w:eastAsia="en-US"/>
        </w:rPr>
        <w:t xml:space="preserve"> la comunicación social y la cultura </w:t>
      </w:r>
      <w:r w:rsidRPr="00C01BA0">
        <w:rPr>
          <w:rFonts w:ascii="Arial" w:eastAsia="Calibri" w:hAnsi="Arial" w:cs="Arial"/>
          <w:szCs w:val="24"/>
          <w:lang w:val="es-ES" w:eastAsia="es-AR"/>
        </w:rPr>
        <w:t>de la Ciudad Autónoma de Buenos Aires el libro “</w:t>
      </w:r>
      <w:r w:rsidRPr="00C01BA0">
        <w:rPr>
          <w:rFonts w:ascii="Arial" w:eastAsia="Calibri" w:hAnsi="Arial" w:cs="Arial"/>
          <w:i/>
          <w:iCs/>
          <w:szCs w:val="24"/>
          <w:lang w:val="es-ES" w:eastAsia="es-AR"/>
        </w:rPr>
        <w:t>Historia de una Investigación. Operación Masacre de Rodolfo Walsh: una revolución de periodismo (y amor)</w:t>
      </w:r>
      <w:r w:rsidRPr="00C01BA0">
        <w:rPr>
          <w:rFonts w:ascii="Arial" w:eastAsia="Calibri" w:hAnsi="Arial" w:cs="Arial"/>
          <w:iCs/>
          <w:szCs w:val="24"/>
          <w:lang w:val="es-ES" w:eastAsia="es-AR"/>
        </w:rPr>
        <w:t xml:space="preserve">” de la autora Enriqueta Muñiz, </w:t>
      </w:r>
      <w:r w:rsidRPr="00C01BA0">
        <w:rPr>
          <w:rFonts w:ascii="Arial" w:eastAsia="Calibri" w:hAnsi="Arial" w:cs="Arial"/>
          <w:szCs w:val="24"/>
          <w:lang w:val="es-ES" w:eastAsia="es-AR"/>
        </w:rPr>
        <w:t>editado por Planeta.</w:t>
      </w:r>
    </w:p>
    <w:p w:rsidR="00B92B56" w:rsidRPr="00C01BA0" w:rsidRDefault="00B92B56" w:rsidP="00B92B56">
      <w:pPr>
        <w:shd w:val="clear" w:color="auto" w:fill="FFFFFF"/>
        <w:rPr>
          <w:rFonts w:ascii="Arial" w:hAnsi="Arial" w:cs="Arial"/>
          <w:color w:val="000000"/>
          <w:szCs w:val="24"/>
          <w:lang w:val="es-ES" w:eastAsia="en-US"/>
        </w:rPr>
      </w:pPr>
    </w:p>
    <w:p w:rsidR="00B92B56" w:rsidRPr="00C01BA0" w:rsidRDefault="00B92B56" w:rsidP="00B92B56">
      <w:pPr>
        <w:shd w:val="clear" w:color="auto" w:fill="FFFFFF"/>
        <w:rPr>
          <w:rFonts w:ascii="Arial" w:eastAsia="Arial Unicode MS" w:hAnsi="Arial" w:cs="Arial"/>
          <w:szCs w:val="24"/>
        </w:rPr>
      </w:pPr>
    </w:p>
    <w:p w:rsidR="00B92B56" w:rsidRPr="00C01BA0" w:rsidRDefault="00B92B56" w:rsidP="00B92B56">
      <w:pPr>
        <w:rPr>
          <w:rFonts w:ascii="Arial" w:hAnsi="Arial" w:cs="Arial"/>
          <w:b/>
          <w:szCs w:val="24"/>
          <w:lang w:val="es-MX"/>
        </w:rPr>
      </w:pPr>
      <w:r w:rsidRPr="00C01BA0">
        <w:rPr>
          <w:rFonts w:ascii="Arial" w:hAnsi="Arial" w:cs="Arial"/>
          <w:b/>
          <w:szCs w:val="24"/>
          <w:lang w:val="es-MX"/>
        </w:rPr>
        <w:t>Considerando:</w:t>
      </w:r>
    </w:p>
    <w:p w:rsidR="005E3C49" w:rsidRPr="00C01BA0" w:rsidRDefault="005E3C49" w:rsidP="00E5658D">
      <w:pPr>
        <w:rPr>
          <w:rFonts w:ascii="Arial" w:hAnsi="Arial" w:cs="Arial"/>
          <w:szCs w:val="24"/>
        </w:rPr>
      </w:pPr>
    </w:p>
    <w:p w:rsidR="00B92B56" w:rsidRPr="00C01BA0" w:rsidRDefault="00B92B56" w:rsidP="00B92B56">
      <w:pPr>
        <w:autoSpaceDE w:val="0"/>
        <w:autoSpaceDN w:val="0"/>
        <w:adjustRightInd w:val="0"/>
        <w:spacing w:line="360" w:lineRule="auto"/>
        <w:ind w:firstLine="567"/>
        <w:rPr>
          <w:rFonts w:ascii="Arial" w:eastAsia="Calibri" w:hAnsi="Arial" w:cs="Arial"/>
          <w:iCs/>
          <w:szCs w:val="24"/>
          <w:lang w:val="es-ES" w:eastAsia="es-AR"/>
        </w:rPr>
      </w:pPr>
      <w:r w:rsidRPr="00C01BA0">
        <w:rPr>
          <w:rFonts w:ascii="Arial" w:eastAsia="Calibri" w:hAnsi="Arial" w:cs="Arial"/>
          <w:iCs/>
          <w:szCs w:val="24"/>
          <w:lang w:eastAsia="es-AR"/>
        </w:rPr>
        <w:t xml:space="preserve">Que </w:t>
      </w:r>
      <w:r w:rsidRPr="00B92B56">
        <w:rPr>
          <w:rFonts w:ascii="Arial" w:eastAsia="Calibri" w:hAnsi="Arial" w:cs="Arial"/>
          <w:i/>
          <w:iCs/>
          <w:szCs w:val="24"/>
          <w:lang w:val="es-ES" w:eastAsia="es-AR"/>
        </w:rPr>
        <w:t>Operación Masacre</w:t>
      </w:r>
      <w:r w:rsidRPr="00B92B56">
        <w:rPr>
          <w:rFonts w:ascii="Arial" w:eastAsia="Calibri" w:hAnsi="Arial" w:cs="Arial"/>
          <w:iCs/>
          <w:szCs w:val="24"/>
          <w:lang w:val="es-ES" w:eastAsia="es-AR"/>
        </w:rPr>
        <w:t xml:space="preserve"> (1957) es un libro clásico no sólo entre simpatizantes y militantes del peronismo sino también en cátedras de literatura argentina y contemporánea. Se lo considera como el verdadero primer libro de "</w:t>
      </w:r>
      <w:r w:rsidRPr="00B92B56">
        <w:rPr>
          <w:rFonts w:ascii="Arial" w:eastAsia="Calibri" w:hAnsi="Arial" w:cs="Arial"/>
          <w:i/>
          <w:iCs/>
          <w:szCs w:val="24"/>
          <w:lang w:val="es-ES" w:eastAsia="es-AR"/>
        </w:rPr>
        <w:t>non-fiction</w:t>
      </w:r>
      <w:r w:rsidRPr="00B92B56">
        <w:rPr>
          <w:rFonts w:ascii="Arial" w:eastAsia="Calibri" w:hAnsi="Arial" w:cs="Arial"/>
          <w:iCs/>
          <w:szCs w:val="24"/>
          <w:lang w:val="es-ES" w:eastAsia="es-AR"/>
        </w:rPr>
        <w:t xml:space="preserve">" -también denominado "literatura de testimonio"-, género que es tomado en las academias del mundo como creado por el norteamericano Truman Capote en su novela </w:t>
      </w:r>
      <w:r w:rsidRPr="00B92B56">
        <w:rPr>
          <w:rFonts w:ascii="Arial" w:eastAsia="Calibri" w:hAnsi="Arial" w:cs="Arial"/>
          <w:i/>
          <w:iCs/>
          <w:szCs w:val="24"/>
          <w:lang w:val="es-ES" w:eastAsia="es-AR"/>
        </w:rPr>
        <w:t>A sangre fría</w:t>
      </w:r>
      <w:r w:rsidRPr="00C01BA0">
        <w:rPr>
          <w:rFonts w:ascii="Arial" w:eastAsia="Calibri" w:hAnsi="Arial" w:cs="Arial"/>
          <w:iCs/>
          <w:szCs w:val="24"/>
          <w:lang w:val="es-ES" w:eastAsia="es-AR"/>
        </w:rPr>
        <w:t xml:space="preserve"> (1966). En la</w:t>
      </w:r>
      <w:r w:rsidRPr="00B92B56">
        <w:rPr>
          <w:rFonts w:ascii="Arial" w:eastAsia="Calibri" w:hAnsi="Arial" w:cs="Arial"/>
          <w:iCs/>
          <w:szCs w:val="24"/>
          <w:lang w:val="es-ES" w:eastAsia="es-AR"/>
        </w:rPr>
        <w:t xml:space="preserve"> introducción a </w:t>
      </w:r>
      <w:r w:rsidRPr="00C01BA0">
        <w:rPr>
          <w:rFonts w:ascii="Arial" w:eastAsia="Calibri" w:hAnsi="Arial" w:cs="Arial"/>
          <w:iCs/>
          <w:szCs w:val="24"/>
          <w:lang w:val="es-ES" w:eastAsia="es-AR"/>
        </w:rPr>
        <w:t>“</w:t>
      </w:r>
      <w:r w:rsidRPr="00B92B56">
        <w:rPr>
          <w:rFonts w:ascii="Arial" w:eastAsia="Calibri" w:hAnsi="Arial" w:cs="Arial"/>
          <w:i/>
          <w:iCs/>
          <w:szCs w:val="24"/>
          <w:lang w:val="es-ES" w:eastAsia="es-AR"/>
        </w:rPr>
        <w:t xml:space="preserve">Historia de una </w:t>
      </w:r>
      <w:r w:rsidRPr="00C01BA0">
        <w:rPr>
          <w:rFonts w:ascii="Arial" w:eastAsia="Calibri" w:hAnsi="Arial" w:cs="Arial"/>
          <w:i/>
          <w:iCs/>
          <w:szCs w:val="24"/>
          <w:lang w:val="es-ES" w:eastAsia="es-AR"/>
        </w:rPr>
        <w:t>Investigación. Operación</w:t>
      </w:r>
      <w:r w:rsidRPr="00B92B56">
        <w:rPr>
          <w:rFonts w:ascii="Arial" w:eastAsia="Calibri" w:hAnsi="Arial" w:cs="Arial"/>
          <w:i/>
          <w:iCs/>
          <w:szCs w:val="24"/>
          <w:lang w:val="es-ES" w:eastAsia="es-AR"/>
        </w:rPr>
        <w:t xml:space="preserve"> Masacre de Rodolfo Walsh: una revolución de periodismo (y amor)</w:t>
      </w:r>
      <w:r w:rsidRPr="00C01BA0">
        <w:rPr>
          <w:rFonts w:ascii="Arial" w:eastAsia="Calibri" w:hAnsi="Arial" w:cs="Arial"/>
          <w:i/>
          <w:iCs/>
          <w:szCs w:val="24"/>
          <w:lang w:val="es-ES" w:eastAsia="es-AR"/>
        </w:rPr>
        <w:t>”</w:t>
      </w:r>
      <w:r w:rsidRPr="00B92B56">
        <w:rPr>
          <w:rFonts w:ascii="Arial" w:eastAsia="Calibri" w:hAnsi="Arial" w:cs="Arial"/>
          <w:iCs/>
          <w:szCs w:val="24"/>
          <w:lang w:val="es-ES" w:eastAsia="es-AR"/>
        </w:rPr>
        <w:t xml:space="preserve">, Igal llega a considerar a </w:t>
      </w:r>
      <w:r w:rsidRPr="00B92B56">
        <w:rPr>
          <w:rFonts w:ascii="Arial" w:eastAsia="Calibri" w:hAnsi="Arial" w:cs="Arial"/>
          <w:i/>
          <w:iCs/>
          <w:szCs w:val="24"/>
          <w:lang w:val="es-ES" w:eastAsia="es-AR"/>
        </w:rPr>
        <w:t>Operación Masacre</w:t>
      </w:r>
      <w:r w:rsidRPr="00B92B56">
        <w:rPr>
          <w:rFonts w:ascii="Arial" w:eastAsia="Calibri" w:hAnsi="Arial" w:cs="Arial"/>
          <w:iCs/>
          <w:szCs w:val="24"/>
          <w:lang w:val="es-ES" w:eastAsia="es-AR"/>
        </w:rPr>
        <w:t xml:space="preserve"> como el "</w:t>
      </w:r>
      <w:r w:rsidRPr="00B92B56">
        <w:rPr>
          <w:rFonts w:ascii="Arial" w:eastAsia="Calibri" w:hAnsi="Arial" w:cs="Arial"/>
          <w:i/>
          <w:iCs/>
          <w:szCs w:val="24"/>
          <w:lang w:val="es-ES" w:eastAsia="es-AR"/>
        </w:rPr>
        <w:t>Facundo</w:t>
      </w:r>
      <w:r w:rsidRPr="00B92B56">
        <w:rPr>
          <w:rFonts w:ascii="Arial" w:eastAsia="Calibri" w:hAnsi="Arial" w:cs="Arial"/>
          <w:iCs/>
          <w:szCs w:val="24"/>
          <w:lang w:val="es-ES" w:eastAsia="es-AR"/>
        </w:rPr>
        <w:t xml:space="preserve"> del siglo XX" (2022: 42). Sin embargo, casi nada se ha escrito sobre la compañera que escribió </w:t>
      </w:r>
      <w:r w:rsidRPr="00B92B56">
        <w:rPr>
          <w:rFonts w:ascii="Arial" w:eastAsia="Calibri" w:hAnsi="Arial" w:cs="Arial"/>
          <w:i/>
          <w:iCs/>
          <w:szCs w:val="24"/>
          <w:lang w:val="es-ES" w:eastAsia="es-AR"/>
        </w:rPr>
        <w:t xml:space="preserve">Operación Masacre </w:t>
      </w:r>
      <w:r w:rsidR="009C2012">
        <w:rPr>
          <w:rFonts w:ascii="Arial" w:eastAsia="Calibri" w:hAnsi="Arial" w:cs="Arial"/>
          <w:iCs/>
          <w:szCs w:val="24"/>
          <w:lang w:val="es-ES" w:eastAsia="es-AR"/>
        </w:rPr>
        <w:t>con Rodolf</w:t>
      </w:r>
      <w:r w:rsidRPr="00B92B56">
        <w:rPr>
          <w:rFonts w:ascii="Arial" w:eastAsia="Calibri" w:hAnsi="Arial" w:cs="Arial"/>
          <w:iCs/>
          <w:szCs w:val="24"/>
          <w:lang w:val="es-ES" w:eastAsia="es-AR"/>
        </w:rPr>
        <w:t xml:space="preserve">o Walsh, Enriqueta Muñiz. Ambos jóvenes, ninguno contabilizaba más de 30 años cuando empiezan la investigación que daría lugar a </w:t>
      </w:r>
      <w:r w:rsidRPr="00B92B56">
        <w:rPr>
          <w:rFonts w:ascii="Arial" w:eastAsia="Calibri" w:hAnsi="Arial" w:cs="Arial"/>
          <w:i/>
          <w:iCs/>
          <w:szCs w:val="24"/>
          <w:lang w:val="es-ES" w:eastAsia="es-AR"/>
        </w:rPr>
        <w:t>Operación Masacre</w:t>
      </w:r>
      <w:r w:rsidRPr="00B92B56">
        <w:rPr>
          <w:rFonts w:ascii="Arial" w:eastAsia="Calibri" w:hAnsi="Arial" w:cs="Arial"/>
          <w:iCs/>
          <w:szCs w:val="24"/>
          <w:lang w:val="es-ES" w:eastAsia="es-AR"/>
        </w:rPr>
        <w:t>.</w:t>
      </w:r>
    </w:p>
    <w:p w:rsidR="00B92B56" w:rsidRPr="00B92B56" w:rsidRDefault="00B92B56" w:rsidP="00B92B56">
      <w:pPr>
        <w:autoSpaceDE w:val="0"/>
        <w:autoSpaceDN w:val="0"/>
        <w:adjustRightInd w:val="0"/>
        <w:spacing w:line="360" w:lineRule="auto"/>
        <w:ind w:firstLine="567"/>
        <w:rPr>
          <w:rFonts w:ascii="Arial" w:eastAsia="Calibri" w:hAnsi="Arial" w:cs="Arial"/>
          <w:iCs/>
          <w:szCs w:val="24"/>
          <w:lang w:val="es-ES" w:eastAsia="es-AR"/>
        </w:rPr>
      </w:pPr>
    </w:p>
    <w:p w:rsidR="00B92B56" w:rsidRPr="00C01BA0" w:rsidRDefault="00B92B56" w:rsidP="00B92B56">
      <w:pPr>
        <w:autoSpaceDE w:val="0"/>
        <w:autoSpaceDN w:val="0"/>
        <w:adjustRightInd w:val="0"/>
        <w:spacing w:line="360" w:lineRule="auto"/>
        <w:ind w:firstLine="567"/>
        <w:rPr>
          <w:rFonts w:ascii="Arial" w:eastAsia="Calibri" w:hAnsi="Arial" w:cs="Arial"/>
          <w:iCs/>
          <w:szCs w:val="24"/>
          <w:lang w:val="es-ES" w:eastAsia="es-AR"/>
        </w:rPr>
      </w:pPr>
      <w:r w:rsidRPr="00C01BA0">
        <w:rPr>
          <w:rFonts w:ascii="Arial" w:eastAsia="Calibri" w:hAnsi="Arial" w:cs="Arial"/>
          <w:iCs/>
          <w:szCs w:val="24"/>
          <w:lang w:val="es-ES" w:eastAsia="es-AR"/>
        </w:rPr>
        <w:t xml:space="preserve">Que </w:t>
      </w:r>
      <w:r w:rsidRPr="00B92B56">
        <w:rPr>
          <w:rFonts w:ascii="Arial" w:eastAsia="Calibri" w:hAnsi="Arial" w:cs="Arial"/>
          <w:iCs/>
          <w:szCs w:val="24"/>
          <w:lang w:val="es-ES" w:eastAsia="es-AR"/>
        </w:rPr>
        <w:t>Enriqueta nació en la España previa a la Guerra Civil. La anotaron con los apellidos de madre y padre: García Yurrebaso; pero luego ella tomaría como "apellido periodístico" el de un abuelo paterno, Muñiz. Con la llegada de la Guerra Civil, viviendo en un sector republicano, la familia emigra a Bruselas (Bélgica), en donde vivió su infancia. Con las penurias que vendrían a partir de la II Guerra Mundial y la postguerra, a fines de 1950 la madre, ella y su hermano se sumarían al padre que ya vivía en Buenos Aires.</w:t>
      </w:r>
    </w:p>
    <w:p w:rsidR="00B92B56" w:rsidRPr="00B92B56" w:rsidRDefault="00B92B56" w:rsidP="00B92B56">
      <w:pPr>
        <w:autoSpaceDE w:val="0"/>
        <w:autoSpaceDN w:val="0"/>
        <w:adjustRightInd w:val="0"/>
        <w:spacing w:line="360" w:lineRule="auto"/>
        <w:ind w:firstLine="567"/>
        <w:rPr>
          <w:rFonts w:ascii="Arial" w:eastAsia="Calibri" w:hAnsi="Arial" w:cs="Arial"/>
          <w:iCs/>
          <w:szCs w:val="24"/>
          <w:lang w:val="es-ES" w:eastAsia="es-AR"/>
        </w:rPr>
      </w:pPr>
    </w:p>
    <w:p w:rsidR="00B92B56" w:rsidRPr="00C01BA0" w:rsidRDefault="00B92B56" w:rsidP="00B92B56">
      <w:pPr>
        <w:autoSpaceDE w:val="0"/>
        <w:autoSpaceDN w:val="0"/>
        <w:adjustRightInd w:val="0"/>
        <w:spacing w:line="360" w:lineRule="auto"/>
        <w:ind w:firstLine="567"/>
        <w:rPr>
          <w:rFonts w:ascii="Arial" w:eastAsia="Calibri" w:hAnsi="Arial" w:cs="Arial"/>
          <w:iCs/>
          <w:szCs w:val="24"/>
          <w:lang w:val="es-ES" w:eastAsia="es-AR"/>
        </w:rPr>
      </w:pPr>
      <w:r w:rsidRPr="00C01BA0">
        <w:rPr>
          <w:rFonts w:ascii="Arial" w:eastAsia="Calibri" w:hAnsi="Arial" w:cs="Arial"/>
          <w:iCs/>
          <w:szCs w:val="24"/>
          <w:lang w:val="es-ES" w:eastAsia="es-AR"/>
        </w:rPr>
        <w:t xml:space="preserve">Que </w:t>
      </w:r>
      <w:r w:rsidRPr="00B92B56">
        <w:rPr>
          <w:rFonts w:ascii="Arial" w:eastAsia="Calibri" w:hAnsi="Arial" w:cs="Arial"/>
          <w:iCs/>
          <w:szCs w:val="24"/>
          <w:lang w:val="es-ES" w:eastAsia="es-AR"/>
        </w:rPr>
        <w:t>Enriqueta Muñiz trabajaba como traductora en la editorial Hachette junto con Walsh. Entre las obras que tradujo del francés al español destaca el clásico galo</w:t>
      </w:r>
      <w:r w:rsidRPr="00B92B56">
        <w:rPr>
          <w:rFonts w:ascii="Arial" w:eastAsia="Calibri" w:hAnsi="Arial" w:cs="Arial"/>
          <w:i/>
          <w:iCs/>
          <w:szCs w:val="24"/>
          <w:lang w:val="es-ES" w:eastAsia="es-AR"/>
        </w:rPr>
        <w:t xml:space="preserve"> Canción de Rolando</w:t>
      </w:r>
      <w:r w:rsidRPr="00B92B56">
        <w:rPr>
          <w:rFonts w:ascii="Arial" w:eastAsia="Calibri" w:hAnsi="Arial" w:cs="Arial"/>
          <w:iCs/>
          <w:szCs w:val="24"/>
          <w:lang w:val="es-ES" w:eastAsia="es-AR"/>
        </w:rPr>
        <w:t xml:space="preserve">. Además, publicó el cuento infantil "La piedra mágica" a partir de un concurso que organizó la editorial Guillermo Kraft con una tirada de más de 10000 ejemplares. Reseñó libros contemporáneos para el periódico "Gaceta literaria", cercana al Partido Comunista Argentino. Colaboró </w:t>
      </w:r>
      <w:r w:rsidRPr="00B92B56">
        <w:rPr>
          <w:rFonts w:ascii="Arial" w:eastAsia="Calibri" w:hAnsi="Arial" w:cs="Arial"/>
          <w:iCs/>
          <w:szCs w:val="24"/>
          <w:lang w:val="es-ES" w:eastAsia="es-AR"/>
        </w:rPr>
        <w:lastRenderedPageBreak/>
        <w:t xml:space="preserve">en otras publicaciones periódicas como el diario "La Nación", las revistas "Platea", "Siete días", "El hogar", "Maribel", "Estampa" y "Ahorro y seguro". En la década del '60 volvió a su España natal -donde completó sus estudios universitarios en Ciencias de la Información (Universidad Complutense de Madrid)- y participó de las redacciones de las revistas "Chabela" y "Gaceta ilustrada". No obstante, su trabajo dentro del periodismo cultural más importante fue en "La prensa", en donde alcanzó el grado de prosecretaria de redacción y subdirectora del suplemento cultural. En estas revistas y diarios publicó numerosos reportajes y entrevistas. Se desenvolvió como crítica de cine del Festival de Mar Del Plata. Se dedicó a escribir ficción y fue una de las galardonadas por uno de los concursos de la revista "Vea y lea" en el rubro de cuento policial. Publicó </w:t>
      </w:r>
      <w:r w:rsidRPr="00B92B56">
        <w:rPr>
          <w:rFonts w:ascii="Arial" w:eastAsia="Calibri" w:hAnsi="Arial" w:cs="Arial"/>
          <w:i/>
          <w:iCs/>
          <w:szCs w:val="24"/>
          <w:lang w:val="es-ES" w:eastAsia="es-AR"/>
        </w:rPr>
        <w:t xml:space="preserve">Veinte cuentos infantiles </w:t>
      </w:r>
      <w:r w:rsidRPr="00B92B56">
        <w:rPr>
          <w:rFonts w:ascii="Arial" w:eastAsia="Calibri" w:hAnsi="Arial" w:cs="Arial"/>
          <w:iCs/>
          <w:szCs w:val="24"/>
          <w:lang w:val="es-ES" w:eastAsia="es-AR"/>
        </w:rPr>
        <w:t xml:space="preserve">(1954), </w:t>
      </w:r>
      <w:r w:rsidRPr="00B92B56">
        <w:rPr>
          <w:rFonts w:ascii="Arial" w:eastAsia="Calibri" w:hAnsi="Arial" w:cs="Arial"/>
          <w:i/>
          <w:iCs/>
          <w:szCs w:val="24"/>
          <w:lang w:val="es-ES" w:eastAsia="es-AR"/>
        </w:rPr>
        <w:t xml:space="preserve">Emancio en el umbral </w:t>
      </w:r>
      <w:r w:rsidRPr="00B92B56">
        <w:rPr>
          <w:rFonts w:ascii="Arial" w:eastAsia="Calibri" w:hAnsi="Arial" w:cs="Arial"/>
          <w:iCs/>
          <w:szCs w:val="24"/>
          <w:lang w:val="es-ES" w:eastAsia="es-AR"/>
        </w:rPr>
        <w:t xml:space="preserve">(1989), </w:t>
      </w:r>
      <w:r w:rsidRPr="00B92B56">
        <w:rPr>
          <w:rFonts w:ascii="Arial" w:eastAsia="Calibri" w:hAnsi="Arial" w:cs="Arial"/>
          <w:i/>
          <w:iCs/>
          <w:szCs w:val="24"/>
          <w:lang w:val="es-ES" w:eastAsia="es-AR"/>
        </w:rPr>
        <w:t xml:space="preserve">Memorias de un peón de </w:t>
      </w:r>
      <w:r w:rsidRPr="00B92B56">
        <w:rPr>
          <w:rFonts w:ascii="Arial" w:eastAsia="Calibri" w:hAnsi="Arial" w:cs="Arial"/>
          <w:iCs/>
          <w:szCs w:val="24"/>
          <w:lang w:val="es-ES" w:eastAsia="es-AR"/>
        </w:rPr>
        <w:t xml:space="preserve">ajedrez (1992) y, dentro del género de literatura periodística, </w:t>
      </w:r>
      <w:r w:rsidRPr="00B92B56">
        <w:rPr>
          <w:rFonts w:ascii="Arial" w:eastAsia="Calibri" w:hAnsi="Arial" w:cs="Arial"/>
          <w:i/>
          <w:iCs/>
          <w:szCs w:val="24"/>
          <w:lang w:val="es-ES" w:eastAsia="es-AR"/>
        </w:rPr>
        <w:t xml:space="preserve">La prensa argentina en tiempos de guerra (1827-1852) </w:t>
      </w:r>
      <w:r w:rsidRPr="00B92B56">
        <w:rPr>
          <w:rFonts w:ascii="Arial" w:eastAsia="Calibri" w:hAnsi="Arial" w:cs="Arial"/>
          <w:iCs/>
          <w:szCs w:val="24"/>
          <w:lang w:val="es-ES" w:eastAsia="es-AR"/>
        </w:rPr>
        <w:t>(2009). Ganó el premio Konex en 1987 y en 1994; además integró el jurado de los mismos en 2004. Su trabajo como periodista en el ámbito de la cultura no se limitó a la gráfica, también incursionó en la radio y en la televisión. Su trabajo constante en el periodismo le permitió ser incluida en la Academia Nacional de Periodismo. Recibió el Tercer premio Municipal de Novela (1991), el Premio Gente de Letras (1994) y la Mención del Círculo de Prensa (1963).</w:t>
      </w:r>
    </w:p>
    <w:p w:rsidR="00B92B56" w:rsidRPr="00B92B56" w:rsidRDefault="00B92B56" w:rsidP="00B92B56">
      <w:pPr>
        <w:autoSpaceDE w:val="0"/>
        <w:autoSpaceDN w:val="0"/>
        <w:adjustRightInd w:val="0"/>
        <w:spacing w:line="360" w:lineRule="auto"/>
        <w:ind w:firstLine="567"/>
        <w:rPr>
          <w:rFonts w:ascii="Arial" w:eastAsia="Calibri" w:hAnsi="Arial" w:cs="Arial"/>
          <w:iCs/>
          <w:szCs w:val="24"/>
          <w:lang w:val="es-ES" w:eastAsia="es-AR"/>
        </w:rPr>
      </w:pPr>
    </w:p>
    <w:p w:rsidR="00B92B56" w:rsidRPr="00C01BA0" w:rsidRDefault="00B92B56" w:rsidP="00B92B56">
      <w:pPr>
        <w:autoSpaceDE w:val="0"/>
        <w:autoSpaceDN w:val="0"/>
        <w:adjustRightInd w:val="0"/>
        <w:spacing w:line="360" w:lineRule="auto"/>
        <w:ind w:firstLine="567"/>
        <w:rPr>
          <w:rFonts w:ascii="Arial" w:eastAsia="Calibri" w:hAnsi="Arial" w:cs="Arial"/>
          <w:iCs/>
          <w:szCs w:val="24"/>
          <w:lang w:val="es-ES" w:eastAsia="es-AR"/>
        </w:rPr>
      </w:pPr>
      <w:r w:rsidRPr="00C01BA0">
        <w:rPr>
          <w:rFonts w:ascii="Arial" w:eastAsia="Calibri" w:hAnsi="Arial" w:cs="Arial"/>
          <w:iCs/>
          <w:szCs w:val="24"/>
          <w:lang w:val="es-ES" w:eastAsia="es-AR"/>
        </w:rPr>
        <w:t>Que, d</w:t>
      </w:r>
      <w:r w:rsidRPr="00B92B56">
        <w:rPr>
          <w:rFonts w:ascii="Arial" w:eastAsia="Calibri" w:hAnsi="Arial" w:cs="Arial"/>
          <w:iCs/>
          <w:szCs w:val="24"/>
          <w:lang w:val="es-ES" w:eastAsia="es-AR"/>
        </w:rPr>
        <w:t>esde su infancia en Bruselas, Enriqueta tomó la costumbre de escribir diarios que tituló en francés</w:t>
      </w:r>
      <w:r w:rsidRPr="00B92B56">
        <w:rPr>
          <w:rFonts w:ascii="Arial" w:eastAsia="Calibri" w:hAnsi="Arial" w:cs="Arial"/>
          <w:i/>
          <w:iCs/>
          <w:szCs w:val="24"/>
          <w:lang w:val="es-ES" w:eastAsia="es-AR"/>
        </w:rPr>
        <w:t xml:space="preserve"> Cahier de Marrottes</w:t>
      </w:r>
      <w:r w:rsidRPr="00B92B56">
        <w:rPr>
          <w:rFonts w:ascii="Arial" w:eastAsia="Calibri" w:hAnsi="Arial" w:cs="Arial"/>
          <w:iCs/>
          <w:szCs w:val="24"/>
          <w:lang w:val="es-ES" w:eastAsia="es-AR"/>
        </w:rPr>
        <w:t xml:space="preserve"> -"cuaderno de manías"-. En ellos no sólo volcaba sus pensamientos y sentimientos más íntimos, sino también comentarios de los libros que iba leyendo -desde </w:t>
      </w:r>
      <w:r w:rsidRPr="00B92B56">
        <w:rPr>
          <w:rFonts w:ascii="Arial" w:eastAsia="Calibri" w:hAnsi="Arial" w:cs="Arial"/>
          <w:i/>
          <w:iCs/>
          <w:szCs w:val="24"/>
          <w:lang w:val="es-ES" w:eastAsia="es-AR"/>
        </w:rPr>
        <w:t>Las penas del joven Werther</w:t>
      </w:r>
      <w:r w:rsidRPr="00B92B56">
        <w:rPr>
          <w:rFonts w:ascii="Arial" w:eastAsia="Calibri" w:hAnsi="Arial" w:cs="Arial"/>
          <w:iCs/>
          <w:szCs w:val="24"/>
          <w:lang w:val="es-ES" w:eastAsia="es-AR"/>
        </w:rPr>
        <w:t xml:space="preserve"> de Goethe hasta la </w:t>
      </w:r>
      <w:r w:rsidRPr="00B92B56">
        <w:rPr>
          <w:rFonts w:ascii="Arial" w:eastAsia="Calibri" w:hAnsi="Arial" w:cs="Arial"/>
          <w:i/>
          <w:iCs/>
          <w:szCs w:val="24"/>
          <w:lang w:val="es-ES" w:eastAsia="es-AR"/>
        </w:rPr>
        <w:t>Divina comedia</w:t>
      </w:r>
      <w:r w:rsidRPr="00B92B56">
        <w:rPr>
          <w:rFonts w:ascii="Arial" w:eastAsia="Calibri" w:hAnsi="Arial" w:cs="Arial"/>
          <w:iCs/>
          <w:szCs w:val="24"/>
          <w:lang w:val="es-ES" w:eastAsia="es-AR"/>
        </w:rPr>
        <w:t xml:space="preserve"> de Dante pasando por </w:t>
      </w:r>
      <w:r w:rsidRPr="00B92B56">
        <w:rPr>
          <w:rFonts w:ascii="Arial" w:eastAsia="Calibri" w:hAnsi="Arial" w:cs="Arial"/>
          <w:i/>
          <w:iCs/>
          <w:szCs w:val="24"/>
          <w:lang w:val="es-ES" w:eastAsia="es-AR"/>
        </w:rPr>
        <w:t>Juvenilia</w:t>
      </w:r>
      <w:r w:rsidRPr="00B92B56">
        <w:rPr>
          <w:rFonts w:ascii="Arial" w:eastAsia="Calibri" w:hAnsi="Arial" w:cs="Arial"/>
          <w:iCs/>
          <w:szCs w:val="24"/>
          <w:lang w:val="es-ES" w:eastAsia="es-AR"/>
        </w:rPr>
        <w:t xml:space="preserve"> de Miguel Cané- y la música clásica que escuchaba. El libro que aquí declaramos contiene los dos cuadernos de anotaciones que Enriqueta escribió durante la investigación sobre "El caso Livraga" -tal era una de las opciones para nombrar </w:t>
      </w:r>
      <w:r w:rsidRPr="00B92B56">
        <w:rPr>
          <w:rFonts w:ascii="Arial" w:eastAsia="Calibri" w:hAnsi="Arial" w:cs="Arial"/>
          <w:i/>
          <w:iCs/>
          <w:szCs w:val="24"/>
          <w:lang w:val="es-ES" w:eastAsia="es-AR"/>
        </w:rPr>
        <w:t>Operación masacre</w:t>
      </w:r>
      <w:r w:rsidRPr="00B92B56">
        <w:rPr>
          <w:rFonts w:ascii="Arial" w:eastAsia="Calibri" w:hAnsi="Arial" w:cs="Arial"/>
          <w:iCs/>
          <w:szCs w:val="24"/>
          <w:lang w:val="es-ES" w:eastAsia="es-AR"/>
        </w:rPr>
        <w:t xml:space="preserve">. Enriqueta fue esquiva durante toda su vida en cuanto a su participación en la investigación que dio lugar a </w:t>
      </w:r>
      <w:r w:rsidRPr="00B92B56">
        <w:rPr>
          <w:rFonts w:ascii="Arial" w:eastAsia="Calibri" w:hAnsi="Arial" w:cs="Arial"/>
          <w:i/>
          <w:iCs/>
          <w:szCs w:val="24"/>
          <w:lang w:val="es-ES" w:eastAsia="es-AR"/>
        </w:rPr>
        <w:t>Operación masacre</w:t>
      </w:r>
      <w:r w:rsidRPr="00B92B56">
        <w:rPr>
          <w:rFonts w:ascii="Arial" w:eastAsia="Calibri" w:hAnsi="Arial" w:cs="Arial"/>
          <w:iCs/>
          <w:szCs w:val="24"/>
          <w:lang w:val="es-ES" w:eastAsia="es-AR"/>
        </w:rPr>
        <w:t>: se negó en la mayoría de los casos a dar entrevistas o directamente a hablar sobre el asunto. Tampoco se reconocía como militante peronista -como el propio Walsh- ni comulgaba con los gobiernos peronistas. Sus opiniones políticas se encontraban más hacia la izquierda.</w:t>
      </w:r>
    </w:p>
    <w:p w:rsidR="00B92B56" w:rsidRPr="00B92B56" w:rsidRDefault="00B92B56" w:rsidP="00B92B56">
      <w:pPr>
        <w:autoSpaceDE w:val="0"/>
        <w:autoSpaceDN w:val="0"/>
        <w:adjustRightInd w:val="0"/>
        <w:spacing w:line="360" w:lineRule="auto"/>
        <w:ind w:firstLine="567"/>
        <w:rPr>
          <w:rFonts w:ascii="Arial" w:eastAsia="Calibri" w:hAnsi="Arial" w:cs="Arial"/>
          <w:iCs/>
          <w:szCs w:val="24"/>
          <w:lang w:val="es-ES" w:eastAsia="es-AR"/>
        </w:rPr>
      </w:pPr>
    </w:p>
    <w:p w:rsidR="00B92B56" w:rsidRPr="00C01BA0" w:rsidRDefault="00B92B56" w:rsidP="00B92B56">
      <w:pPr>
        <w:autoSpaceDE w:val="0"/>
        <w:autoSpaceDN w:val="0"/>
        <w:adjustRightInd w:val="0"/>
        <w:spacing w:line="360" w:lineRule="auto"/>
        <w:ind w:firstLine="567"/>
        <w:rPr>
          <w:rFonts w:ascii="Arial" w:eastAsia="Calibri" w:hAnsi="Arial" w:cs="Arial"/>
          <w:iCs/>
          <w:szCs w:val="24"/>
          <w:lang w:val="es-ES" w:eastAsia="es-AR"/>
        </w:rPr>
      </w:pPr>
      <w:r w:rsidRPr="00C01BA0">
        <w:rPr>
          <w:rFonts w:ascii="Arial" w:eastAsia="Calibri" w:hAnsi="Arial" w:cs="Arial"/>
          <w:iCs/>
          <w:szCs w:val="24"/>
          <w:lang w:val="es-ES" w:eastAsia="es-AR"/>
        </w:rPr>
        <w:lastRenderedPageBreak/>
        <w:t>Que s</w:t>
      </w:r>
      <w:r w:rsidRPr="00B92B56">
        <w:rPr>
          <w:rFonts w:ascii="Arial" w:eastAsia="Calibri" w:hAnsi="Arial" w:cs="Arial"/>
          <w:iCs/>
          <w:szCs w:val="24"/>
          <w:lang w:val="es-ES" w:eastAsia="es-AR"/>
        </w:rPr>
        <w:t xml:space="preserve">e sabe que antes de morir quemó varios papeles, seguramente varios de sus </w:t>
      </w:r>
      <w:r w:rsidRPr="00B92B56">
        <w:rPr>
          <w:rFonts w:ascii="Arial" w:eastAsia="Calibri" w:hAnsi="Arial" w:cs="Arial"/>
          <w:i/>
          <w:iCs/>
          <w:szCs w:val="24"/>
          <w:lang w:val="es-ES" w:eastAsia="es-AR"/>
        </w:rPr>
        <w:t>Cahier de Marrottes</w:t>
      </w:r>
      <w:r w:rsidRPr="00B92B56">
        <w:rPr>
          <w:rFonts w:ascii="Arial" w:eastAsia="Calibri" w:hAnsi="Arial" w:cs="Arial"/>
          <w:iCs/>
          <w:szCs w:val="24"/>
          <w:lang w:val="es-ES" w:eastAsia="es-AR"/>
        </w:rPr>
        <w:t xml:space="preserve">; sin </w:t>
      </w:r>
      <w:r w:rsidR="00C01BA0" w:rsidRPr="00C01BA0">
        <w:rPr>
          <w:rFonts w:ascii="Arial" w:eastAsia="Calibri" w:hAnsi="Arial" w:cs="Arial"/>
          <w:iCs/>
          <w:szCs w:val="24"/>
          <w:lang w:val="es-ES" w:eastAsia="es-AR"/>
        </w:rPr>
        <w:t>embargo,</w:t>
      </w:r>
      <w:r w:rsidRPr="00B92B56">
        <w:rPr>
          <w:rFonts w:ascii="Arial" w:eastAsia="Calibri" w:hAnsi="Arial" w:cs="Arial"/>
          <w:iCs/>
          <w:szCs w:val="24"/>
          <w:lang w:val="es-ES" w:eastAsia="es-AR"/>
        </w:rPr>
        <w:t xml:space="preserve"> guardó para la posteridad los dos tomos de </w:t>
      </w:r>
      <w:r w:rsidRPr="00B92B56">
        <w:rPr>
          <w:rFonts w:ascii="Arial" w:eastAsia="Calibri" w:hAnsi="Arial" w:cs="Arial"/>
          <w:i/>
          <w:iCs/>
          <w:szCs w:val="24"/>
          <w:lang w:val="es-ES" w:eastAsia="es-AR"/>
        </w:rPr>
        <w:t>Historia de una investigación</w:t>
      </w:r>
      <w:r w:rsidRPr="00B92B56">
        <w:rPr>
          <w:rFonts w:ascii="Arial" w:eastAsia="Calibri" w:hAnsi="Arial" w:cs="Arial"/>
          <w:iCs/>
          <w:szCs w:val="24"/>
          <w:lang w:val="es-ES" w:eastAsia="es-AR"/>
        </w:rPr>
        <w:t xml:space="preserve"> donde relata prácticamente de forma diaria los avances en la investigación. El texto cuenta con anotaciones al margen del propio Walsh así que es evidente que Enriqueta alguna vez se los mostró. El libro editado por Planeta incluye cartas personales entre ambos, fotos y dedicatorias. Constituye un archivo familiar que sus herederos ofrecen a la sociedad en su conjunto para que se valorice la investigación, el trabajo y los riesgos que significó la escritura de </w:t>
      </w:r>
      <w:r w:rsidRPr="00B92B56">
        <w:rPr>
          <w:rFonts w:ascii="Arial" w:eastAsia="Calibri" w:hAnsi="Arial" w:cs="Arial"/>
          <w:i/>
          <w:iCs/>
          <w:szCs w:val="24"/>
          <w:lang w:val="es-ES" w:eastAsia="es-AR"/>
        </w:rPr>
        <w:t>Operación masacre</w:t>
      </w:r>
      <w:r w:rsidRPr="00B92B56">
        <w:rPr>
          <w:rFonts w:ascii="Arial" w:eastAsia="Calibri" w:hAnsi="Arial" w:cs="Arial"/>
          <w:iCs/>
          <w:szCs w:val="24"/>
          <w:lang w:val="es-ES" w:eastAsia="es-AR"/>
        </w:rPr>
        <w:t>. Generaciones venideras podrán usar este material valiosísimo para la edición crítica del libro en cuanto a su aspecto literario como histórico.</w:t>
      </w:r>
    </w:p>
    <w:p w:rsidR="00B92B56" w:rsidRPr="00B92B56" w:rsidRDefault="00B92B56" w:rsidP="00B92B56">
      <w:pPr>
        <w:autoSpaceDE w:val="0"/>
        <w:autoSpaceDN w:val="0"/>
        <w:adjustRightInd w:val="0"/>
        <w:spacing w:line="360" w:lineRule="auto"/>
        <w:ind w:firstLine="567"/>
        <w:rPr>
          <w:rFonts w:ascii="Arial" w:eastAsia="Calibri" w:hAnsi="Arial" w:cs="Arial"/>
          <w:iCs/>
          <w:szCs w:val="24"/>
          <w:lang w:val="es-ES" w:eastAsia="es-AR"/>
        </w:rPr>
      </w:pPr>
    </w:p>
    <w:p w:rsidR="00B92B56" w:rsidRPr="00C01BA0" w:rsidRDefault="00B92B56" w:rsidP="00C01BA0">
      <w:pPr>
        <w:spacing w:line="360" w:lineRule="auto"/>
        <w:rPr>
          <w:rFonts w:ascii="Arial" w:eastAsia="Calibri" w:hAnsi="Arial" w:cs="Arial"/>
          <w:iCs/>
          <w:szCs w:val="24"/>
          <w:lang w:val="es-ES" w:eastAsia="es-AR"/>
        </w:rPr>
      </w:pPr>
      <w:r w:rsidRPr="00C01BA0">
        <w:rPr>
          <w:rFonts w:ascii="Arial" w:eastAsia="Calibri" w:hAnsi="Arial" w:cs="Arial"/>
          <w:iCs/>
          <w:szCs w:val="24"/>
          <w:lang w:val="es-ES" w:eastAsia="es-AR"/>
        </w:rPr>
        <w:t>Que homenajear este libro es u</w:t>
      </w:r>
      <w:r w:rsidR="00C01BA0" w:rsidRPr="00C01BA0">
        <w:rPr>
          <w:rFonts w:ascii="Arial" w:eastAsia="Calibri" w:hAnsi="Arial" w:cs="Arial"/>
          <w:iCs/>
          <w:szCs w:val="24"/>
          <w:lang w:val="es-ES" w:eastAsia="es-AR"/>
        </w:rPr>
        <w:t>na síntesis de varios elementos. P</w:t>
      </w:r>
      <w:r w:rsidRPr="00C01BA0">
        <w:rPr>
          <w:rFonts w:ascii="Arial" w:eastAsia="Calibri" w:hAnsi="Arial" w:cs="Arial"/>
          <w:iCs/>
          <w:szCs w:val="24"/>
          <w:lang w:val="es-ES" w:eastAsia="es-AR"/>
        </w:rPr>
        <w:t xml:space="preserve">or un lado, el objetivo es visibilizar el trabajo de una de las mujeres más importante del ámbito cultural porteño: no sólo por su aporte a </w:t>
      </w:r>
      <w:r w:rsidRPr="00C01BA0">
        <w:rPr>
          <w:rFonts w:ascii="Arial" w:eastAsia="Calibri" w:hAnsi="Arial" w:cs="Arial"/>
          <w:i/>
          <w:iCs/>
          <w:szCs w:val="24"/>
          <w:lang w:val="es-ES" w:eastAsia="es-AR"/>
        </w:rPr>
        <w:t>Operación masacre</w:t>
      </w:r>
      <w:r w:rsidRPr="00C01BA0">
        <w:rPr>
          <w:rFonts w:ascii="Arial" w:eastAsia="Calibri" w:hAnsi="Arial" w:cs="Arial"/>
          <w:iCs/>
          <w:szCs w:val="24"/>
          <w:lang w:val="es-ES" w:eastAsia="es-AR"/>
        </w:rPr>
        <w:t>, sino por todo su desempeño en el periodismo cultural. Asimismo, implica observar el trasfondo de la elaboración de uno de los libros más importantes de la literatura argentina del siglo XX.</w:t>
      </w:r>
    </w:p>
    <w:p w:rsidR="00C01BA0" w:rsidRPr="00C01BA0" w:rsidRDefault="00C01BA0" w:rsidP="00B92B56">
      <w:pPr>
        <w:rPr>
          <w:rFonts w:ascii="Arial" w:eastAsia="Calibri" w:hAnsi="Arial" w:cs="Arial"/>
          <w:iCs/>
          <w:szCs w:val="24"/>
          <w:lang w:val="es-ES" w:eastAsia="es-AR"/>
        </w:rPr>
      </w:pPr>
    </w:p>
    <w:p w:rsidR="00C01BA0" w:rsidRPr="00C01BA0" w:rsidRDefault="00C01BA0" w:rsidP="00C01BA0">
      <w:pPr>
        <w:rPr>
          <w:rFonts w:ascii="Arial" w:hAnsi="Arial" w:cs="Arial"/>
          <w:szCs w:val="24"/>
          <w:lang w:val="es-MX"/>
        </w:rPr>
      </w:pPr>
      <w:r w:rsidRPr="00C01BA0">
        <w:rPr>
          <w:rFonts w:ascii="Arial" w:hAnsi="Arial" w:cs="Arial"/>
          <w:szCs w:val="24"/>
          <w:lang w:val="es-MX"/>
        </w:rPr>
        <w:t xml:space="preserve">Por todo lo expuesto, esta </w:t>
      </w:r>
      <w:r w:rsidRPr="00C01BA0">
        <w:rPr>
          <w:rFonts w:ascii="Arial" w:hAnsi="Arial" w:cs="Arial"/>
          <w:b/>
          <w:szCs w:val="24"/>
          <w:lang w:val="es-MX"/>
        </w:rPr>
        <w:t>Comisión de Comunicación Social</w:t>
      </w:r>
      <w:r w:rsidRPr="00C01BA0">
        <w:rPr>
          <w:rFonts w:ascii="Arial" w:hAnsi="Arial" w:cs="Arial"/>
          <w:szCs w:val="24"/>
          <w:lang w:val="es-MX"/>
        </w:rPr>
        <w:t xml:space="preserve"> aconseja la aprobación de la siguiente</w:t>
      </w:r>
    </w:p>
    <w:p w:rsidR="00C01BA0" w:rsidRPr="00C01BA0" w:rsidRDefault="00C01BA0" w:rsidP="00C01BA0">
      <w:pPr>
        <w:ind w:firstLine="708"/>
        <w:rPr>
          <w:rFonts w:ascii="Arial" w:hAnsi="Arial" w:cs="Arial"/>
          <w:szCs w:val="24"/>
          <w:lang w:val="es-MX"/>
        </w:rPr>
      </w:pPr>
    </w:p>
    <w:p w:rsidR="00C01BA0" w:rsidRPr="00C01BA0" w:rsidRDefault="00C01BA0" w:rsidP="00C01BA0">
      <w:pPr>
        <w:ind w:firstLine="708"/>
        <w:rPr>
          <w:rFonts w:ascii="Arial" w:hAnsi="Arial" w:cs="Arial"/>
          <w:szCs w:val="24"/>
        </w:rPr>
      </w:pPr>
    </w:p>
    <w:p w:rsidR="00C01BA0" w:rsidRPr="00C01BA0" w:rsidRDefault="00C01BA0" w:rsidP="00C01BA0">
      <w:pPr>
        <w:jc w:val="center"/>
        <w:rPr>
          <w:rFonts w:ascii="Arial" w:hAnsi="Arial" w:cs="Arial"/>
          <w:b/>
          <w:szCs w:val="24"/>
          <w:lang w:val="es-MX"/>
        </w:rPr>
      </w:pPr>
      <w:r w:rsidRPr="00C01BA0">
        <w:rPr>
          <w:rFonts w:ascii="Arial" w:hAnsi="Arial" w:cs="Arial"/>
          <w:b/>
          <w:szCs w:val="24"/>
          <w:lang w:val="es-MX"/>
        </w:rPr>
        <w:t>DECLARACION</w:t>
      </w:r>
    </w:p>
    <w:p w:rsidR="00C01BA0" w:rsidRPr="00C01BA0" w:rsidRDefault="00C01BA0" w:rsidP="00C01BA0">
      <w:pPr>
        <w:jc w:val="center"/>
        <w:rPr>
          <w:rFonts w:ascii="Arial" w:hAnsi="Arial" w:cs="Arial"/>
          <w:b/>
          <w:szCs w:val="24"/>
          <w:lang w:val="es-MX"/>
        </w:rPr>
      </w:pPr>
    </w:p>
    <w:p w:rsidR="00C01BA0" w:rsidRPr="00C01BA0" w:rsidRDefault="00C01BA0" w:rsidP="00C01BA0">
      <w:pPr>
        <w:rPr>
          <w:rFonts w:ascii="Arial" w:hAnsi="Arial" w:cs="Arial"/>
          <w:szCs w:val="24"/>
          <w:lang w:val="es-MX"/>
        </w:rPr>
      </w:pPr>
    </w:p>
    <w:p w:rsidR="00C01BA0" w:rsidRPr="00C01BA0" w:rsidRDefault="00C01BA0" w:rsidP="00C01BA0">
      <w:pPr>
        <w:autoSpaceDE w:val="0"/>
        <w:autoSpaceDN w:val="0"/>
        <w:adjustRightInd w:val="0"/>
        <w:spacing w:line="360" w:lineRule="auto"/>
        <w:rPr>
          <w:rFonts w:ascii="Arial" w:eastAsia="Calibri" w:hAnsi="Arial" w:cs="Arial"/>
          <w:iCs/>
          <w:szCs w:val="24"/>
          <w:lang w:val="es-ES" w:eastAsia="es-AR"/>
        </w:rPr>
      </w:pPr>
      <w:r w:rsidRPr="00C01BA0">
        <w:rPr>
          <w:rFonts w:ascii="Arial" w:hAnsi="Arial" w:cs="Arial"/>
          <w:szCs w:val="24"/>
          <w:lang w:val="es-MX"/>
        </w:rPr>
        <w:t xml:space="preserve">Declárase </w:t>
      </w:r>
      <w:r w:rsidRPr="00C01BA0">
        <w:rPr>
          <w:rFonts w:ascii="Arial" w:hAnsi="Arial" w:cs="Arial"/>
          <w:color w:val="000000" w:themeColor="text1"/>
          <w:szCs w:val="24"/>
        </w:rPr>
        <w:t>de interés</w:t>
      </w:r>
      <w:r w:rsidRPr="00C01BA0">
        <w:rPr>
          <w:rFonts w:ascii="Arial" w:eastAsia="Arial Unicode MS" w:hAnsi="Arial" w:cs="Arial"/>
          <w:szCs w:val="24"/>
        </w:rPr>
        <w:t xml:space="preserve"> para</w:t>
      </w:r>
      <w:r w:rsidRPr="00C01BA0">
        <w:rPr>
          <w:rFonts w:ascii="Arial" w:eastAsia="Arial Unicode MS" w:hAnsi="Arial" w:cs="Arial"/>
          <w:szCs w:val="24"/>
          <w:lang w:val="es-ES" w:eastAsia="en-US"/>
        </w:rPr>
        <w:t xml:space="preserve"> la comunicación social y la cultura </w:t>
      </w:r>
      <w:r w:rsidRPr="00C01BA0">
        <w:rPr>
          <w:rFonts w:ascii="Arial" w:eastAsia="Calibri" w:hAnsi="Arial" w:cs="Arial"/>
          <w:szCs w:val="24"/>
          <w:lang w:val="es-ES" w:eastAsia="es-AR"/>
        </w:rPr>
        <w:t>de la Ciudad Autónoma de Buenos Aires el libro “</w:t>
      </w:r>
      <w:r w:rsidRPr="00C01BA0">
        <w:rPr>
          <w:rFonts w:ascii="Arial" w:eastAsia="Calibri" w:hAnsi="Arial" w:cs="Arial"/>
          <w:i/>
          <w:iCs/>
          <w:szCs w:val="24"/>
          <w:lang w:val="es-ES" w:eastAsia="es-AR"/>
        </w:rPr>
        <w:t>Historia de una Investigación. Operación Masacre de Rodolfo Walsh: una revolución de periodismo (y amor)</w:t>
      </w:r>
      <w:r w:rsidRPr="00C01BA0">
        <w:rPr>
          <w:rFonts w:ascii="Arial" w:eastAsia="Calibri" w:hAnsi="Arial" w:cs="Arial"/>
          <w:iCs/>
          <w:szCs w:val="24"/>
          <w:lang w:val="es-ES" w:eastAsia="es-AR"/>
        </w:rPr>
        <w:t xml:space="preserve">” de la autora Enriqueta Muñiz, </w:t>
      </w:r>
      <w:r w:rsidRPr="00C01BA0">
        <w:rPr>
          <w:rFonts w:ascii="Arial" w:eastAsia="Calibri" w:hAnsi="Arial" w:cs="Arial"/>
          <w:szCs w:val="24"/>
          <w:lang w:val="es-ES" w:eastAsia="es-AR"/>
        </w:rPr>
        <w:t>editado por Planeta.</w:t>
      </w:r>
    </w:p>
    <w:p w:rsidR="00C01BA0" w:rsidRPr="00C01BA0" w:rsidRDefault="00C01BA0" w:rsidP="00C01BA0">
      <w:pPr>
        <w:shd w:val="clear" w:color="auto" w:fill="FFFFFF"/>
        <w:rPr>
          <w:rFonts w:ascii="Arial" w:hAnsi="Arial" w:cs="Arial"/>
          <w:color w:val="000000"/>
          <w:szCs w:val="24"/>
          <w:lang w:val="es-ES" w:eastAsia="en-US"/>
        </w:rPr>
      </w:pPr>
    </w:p>
    <w:p w:rsidR="00C01BA0" w:rsidRPr="00C01BA0" w:rsidRDefault="00C01BA0" w:rsidP="00C01BA0">
      <w:pPr>
        <w:pStyle w:val="Body"/>
        <w:shd w:val="clear" w:color="auto" w:fill="FFFFFF"/>
        <w:spacing w:line="360" w:lineRule="auto"/>
        <w:rPr>
          <w:rFonts w:ascii="Arial" w:eastAsia="Cambria" w:hAnsi="Arial" w:cs="Arial"/>
          <w:color w:val="1C1C1C"/>
          <w:u w:color="1C1C1C"/>
        </w:rPr>
      </w:pPr>
    </w:p>
    <w:p w:rsidR="00C01BA0" w:rsidRPr="00C01BA0" w:rsidRDefault="00C01BA0" w:rsidP="00C01BA0">
      <w:pPr>
        <w:shd w:val="clear" w:color="auto" w:fill="FFFFFF"/>
        <w:rPr>
          <w:rFonts w:ascii="Arial" w:eastAsia="Arial Unicode MS" w:hAnsi="Arial" w:cs="Arial"/>
          <w:szCs w:val="24"/>
        </w:rPr>
      </w:pPr>
    </w:p>
    <w:p w:rsidR="00C01BA0" w:rsidRPr="00C01BA0" w:rsidRDefault="009C2012" w:rsidP="00C01BA0">
      <w:pPr>
        <w:rPr>
          <w:rFonts w:ascii="Arial" w:hAnsi="Arial" w:cs="Arial"/>
          <w:szCs w:val="24"/>
          <w:lang w:val="es-MX"/>
        </w:rPr>
      </w:pPr>
      <w:r>
        <w:rPr>
          <w:rFonts w:ascii="Arial" w:hAnsi="Arial" w:cs="Arial"/>
          <w:szCs w:val="24"/>
          <w:lang w:val="es-MX"/>
        </w:rPr>
        <w:t>Sala de la Comisión, 31 de Agosto de 2022</w:t>
      </w:r>
    </w:p>
    <w:p w:rsidR="00C01BA0" w:rsidRPr="00C01BA0" w:rsidRDefault="00C01BA0" w:rsidP="00C01BA0">
      <w:pPr>
        <w:rPr>
          <w:rFonts w:ascii="Arial" w:hAnsi="Arial" w:cs="Arial"/>
          <w:szCs w:val="24"/>
          <w:lang w:val="es-MX"/>
        </w:rPr>
      </w:pPr>
    </w:p>
    <w:p w:rsidR="00C01BA0" w:rsidRDefault="00C01BA0" w:rsidP="00C01BA0">
      <w:pPr>
        <w:rPr>
          <w:rFonts w:ascii="Arial" w:hAnsi="Arial" w:cs="Arial"/>
          <w:szCs w:val="24"/>
          <w:lang w:val="es-MX"/>
        </w:rPr>
      </w:pPr>
    </w:p>
    <w:p w:rsidR="00C01BA0" w:rsidRDefault="00C01BA0" w:rsidP="00C01BA0">
      <w:pPr>
        <w:rPr>
          <w:rFonts w:ascii="Arial" w:hAnsi="Arial" w:cs="Arial"/>
          <w:szCs w:val="24"/>
          <w:lang w:val="es-MX"/>
        </w:rPr>
      </w:pPr>
    </w:p>
    <w:p w:rsidR="00C01BA0" w:rsidRDefault="00C01BA0" w:rsidP="00C01BA0">
      <w:pPr>
        <w:rPr>
          <w:rFonts w:ascii="Arial" w:hAnsi="Arial" w:cs="Arial"/>
          <w:szCs w:val="24"/>
          <w:lang w:val="es-MX"/>
        </w:rPr>
      </w:pPr>
    </w:p>
    <w:p w:rsidR="00C01BA0" w:rsidRDefault="00C01BA0" w:rsidP="00C01BA0">
      <w:pPr>
        <w:rPr>
          <w:rFonts w:ascii="Arial" w:hAnsi="Arial" w:cs="Arial"/>
          <w:szCs w:val="24"/>
          <w:lang w:val="es-MX"/>
        </w:rPr>
      </w:pPr>
    </w:p>
    <w:p w:rsidR="00C01BA0" w:rsidRDefault="00C01BA0" w:rsidP="00C01BA0">
      <w:pPr>
        <w:rPr>
          <w:rFonts w:ascii="Arial" w:hAnsi="Arial" w:cs="Arial"/>
          <w:szCs w:val="24"/>
          <w:lang w:val="es-MX"/>
        </w:rPr>
      </w:pPr>
    </w:p>
    <w:p w:rsidR="00C01BA0" w:rsidRDefault="00C01BA0" w:rsidP="00C01BA0">
      <w:pPr>
        <w:rPr>
          <w:rFonts w:ascii="Arial" w:hAnsi="Arial" w:cs="Arial"/>
          <w:szCs w:val="24"/>
          <w:lang w:val="es-MX"/>
        </w:rPr>
      </w:pPr>
    </w:p>
    <w:p w:rsidR="00C01BA0" w:rsidRPr="00C01BA0" w:rsidRDefault="00C01BA0" w:rsidP="00C01BA0">
      <w:pPr>
        <w:rPr>
          <w:rFonts w:ascii="Arial" w:hAnsi="Arial" w:cs="Arial"/>
          <w:szCs w:val="24"/>
          <w:lang w:val="es-MX"/>
        </w:rPr>
      </w:pPr>
      <w:bookmarkStart w:id="0" w:name="_GoBack"/>
      <w:bookmarkEnd w:id="0"/>
    </w:p>
    <w:p w:rsidR="00C01BA0" w:rsidRPr="00C01BA0" w:rsidRDefault="00C01BA0" w:rsidP="00C01BA0">
      <w:pPr>
        <w:ind w:firstLine="708"/>
        <w:rPr>
          <w:rFonts w:ascii="Arial" w:hAnsi="Arial" w:cs="Arial"/>
          <w:szCs w:val="24"/>
        </w:rPr>
      </w:pPr>
    </w:p>
    <w:p w:rsidR="00C01BA0" w:rsidRPr="00C01BA0" w:rsidRDefault="00C01BA0" w:rsidP="00C01BA0">
      <w:pPr>
        <w:rPr>
          <w:rFonts w:ascii="Arial" w:hAnsi="Arial" w:cs="Arial"/>
          <w:b/>
          <w:szCs w:val="24"/>
        </w:rPr>
      </w:pPr>
    </w:p>
    <w:p w:rsidR="00C01BA0" w:rsidRPr="00C01BA0" w:rsidRDefault="00C01BA0" w:rsidP="00C01BA0">
      <w:pPr>
        <w:jc w:val="center"/>
        <w:rPr>
          <w:rFonts w:ascii="Arial" w:hAnsi="Arial" w:cs="Arial"/>
          <w:szCs w:val="24"/>
        </w:rPr>
      </w:pPr>
      <w:r w:rsidRPr="00C01BA0">
        <w:rPr>
          <w:rFonts w:ascii="Arial" w:hAnsi="Arial" w:cs="Arial"/>
          <w:szCs w:val="24"/>
        </w:rPr>
        <w:lastRenderedPageBreak/>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t>Méndez, María Sol</w:t>
      </w:r>
    </w:p>
    <w:p w:rsidR="00C01BA0" w:rsidRPr="00C01BA0" w:rsidRDefault="00C01BA0" w:rsidP="00C01BA0">
      <w:pPr>
        <w:jc w:val="center"/>
        <w:rPr>
          <w:rFonts w:ascii="Arial" w:hAnsi="Arial" w:cs="Arial"/>
          <w:szCs w:val="24"/>
        </w:rPr>
      </w:pP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t>Presidente</w:t>
      </w: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r w:rsidRPr="00C01BA0">
        <w:rPr>
          <w:rFonts w:ascii="Arial" w:hAnsi="Arial" w:cs="Arial"/>
          <w:szCs w:val="24"/>
        </w:rPr>
        <w:t xml:space="preserve"> Vitali, Franco                   </w:t>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t xml:space="preserve">       Guouman, Marcelo</w:t>
      </w:r>
    </w:p>
    <w:p w:rsidR="00C01BA0" w:rsidRPr="00C01BA0" w:rsidRDefault="00C01BA0" w:rsidP="00C01BA0">
      <w:pPr>
        <w:jc w:val="left"/>
        <w:rPr>
          <w:rFonts w:ascii="Arial" w:hAnsi="Arial" w:cs="Arial"/>
          <w:szCs w:val="24"/>
        </w:rPr>
      </w:pPr>
      <w:r w:rsidRPr="00C01BA0">
        <w:rPr>
          <w:rFonts w:ascii="Arial" w:hAnsi="Arial" w:cs="Arial"/>
          <w:szCs w:val="24"/>
        </w:rPr>
        <w:t>Vicepresidente</w:t>
      </w: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r w:rsidRPr="00C01BA0">
        <w:rPr>
          <w:rFonts w:ascii="Arial" w:hAnsi="Arial" w:cs="Arial"/>
          <w:szCs w:val="24"/>
        </w:rPr>
        <w:t>Garrido, Esteban</w:t>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t>Romano, Lucía</w:t>
      </w: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p>
    <w:p w:rsidR="00C01BA0" w:rsidRPr="00C01BA0" w:rsidRDefault="00C01BA0" w:rsidP="00C01BA0">
      <w:pPr>
        <w:jc w:val="left"/>
        <w:rPr>
          <w:rFonts w:ascii="Arial" w:hAnsi="Arial" w:cs="Arial"/>
          <w:szCs w:val="24"/>
        </w:rPr>
      </w:pPr>
      <w:r w:rsidRPr="00C01BA0">
        <w:rPr>
          <w:rFonts w:ascii="Arial" w:hAnsi="Arial" w:cs="Arial"/>
          <w:szCs w:val="24"/>
        </w:rPr>
        <w:t xml:space="preserve">   Nieto, Darío</w:t>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r>
      <w:r w:rsidRPr="00C01BA0">
        <w:rPr>
          <w:rFonts w:ascii="Arial" w:hAnsi="Arial" w:cs="Arial"/>
          <w:szCs w:val="24"/>
        </w:rPr>
        <w:tab/>
        <w:t>Fleitas, Rebeca</w:t>
      </w:r>
    </w:p>
    <w:p w:rsidR="00C01BA0" w:rsidRPr="00C01BA0" w:rsidRDefault="00C01BA0" w:rsidP="00C01BA0">
      <w:pPr>
        <w:rPr>
          <w:rFonts w:ascii="Arial" w:hAnsi="Arial" w:cs="Arial"/>
          <w:szCs w:val="24"/>
        </w:rPr>
      </w:pPr>
    </w:p>
    <w:p w:rsidR="00C01BA0" w:rsidRPr="00C01BA0" w:rsidRDefault="00C01BA0" w:rsidP="00B92B56">
      <w:pPr>
        <w:rPr>
          <w:rFonts w:ascii="Arial" w:hAnsi="Arial" w:cs="Arial"/>
          <w:szCs w:val="24"/>
        </w:rPr>
      </w:pPr>
    </w:p>
    <w:sectPr w:rsidR="00C01BA0" w:rsidRPr="00C01BA0"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853" w:rsidRDefault="00BB5853">
      <w:r>
        <w:separator/>
      </w:r>
    </w:p>
  </w:endnote>
  <w:endnote w:type="continuationSeparator" w:id="1">
    <w:p w:rsidR="00BB5853" w:rsidRDefault="00BB58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C252B" w:rsidRPr="009C252B">
        <w:rPr>
          <w:noProof/>
          <w:color w:val="333333"/>
          <w:sz w:val="20"/>
        </w:rPr>
        <w:t>30/08/2022 11:51:00</w:t>
      </w:r>
    </w:fldSimple>
    <w:r w:rsidRPr="001C19C4">
      <w:rPr>
        <w:color w:val="333333"/>
        <w:sz w:val="20"/>
      </w:rPr>
      <w:t xml:space="preserve">  -  Cantidad de caracteres: </w:t>
    </w:r>
    <w:fldSimple w:instr=" NUMCHARS  \* MERGEFORMAT ">
      <w:r w:rsidR="009C252B" w:rsidRPr="009C252B">
        <w:rPr>
          <w:noProof/>
          <w:color w:val="333333"/>
          <w:sz w:val="20"/>
        </w:rPr>
        <w:t>5552</w:t>
      </w:r>
    </w:fldSimple>
    <w:r w:rsidRPr="001C19C4">
      <w:rPr>
        <w:color w:val="333333"/>
        <w:sz w:val="20"/>
      </w:rPr>
      <w:t xml:space="preserve"> - Cantidad de palabras: </w:t>
    </w:r>
    <w:fldSimple w:instr=" NUMWORDS  \* MERGEFORMAT ">
      <w:r w:rsidR="009C252B" w:rsidRPr="009C252B">
        <w:rPr>
          <w:noProof/>
          <w:color w:val="333333"/>
          <w:sz w:val="20"/>
        </w:rPr>
        <w:t>1056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1568A" w:rsidRPr="001C19C4">
      <w:rPr>
        <w:rStyle w:val="Nmerodepgina"/>
        <w:color w:val="333333"/>
      </w:rPr>
      <w:fldChar w:fldCharType="begin"/>
    </w:r>
    <w:r w:rsidRPr="001C19C4">
      <w:rPr>
        <w:rStyle w:val="Nmerodepgina"/>
        <w:color w:val="333333"/>
      </w:rPr>
      <w:instrText xml:space="preserve"> PAGE </w:instrText>
    </w:r>
    <w:r w:rsidR="0061568A" w:rsidRPr="001C19C4">
      <w:rPr>
        <w:rStyle w:val="Nmerodepgina"/>
        <w:color w:val="333333"/>
      </w:rPr>
      <w:fldChar w:fldCharType="separate"/>
    </w:r>
    <w:r w:rsidR="009C252B">
      <w:rPr>
        <w:rStyle w:val="Nmerodepgina"/>
        <w:noProof/>
        <w:color w:val="333333"/>
      </w:rPr>
      <w:t>4</w:t>
    </w:r>
    <w:r w:rsidR="0061568A" w:rsidRPr="001C19C4">
      <w:rPr>
        <w:rStyle w:val="Nmerodepgina"/>
        <w:color w:val="333333"/>
      </w:rPr>
      <w:fldChar w:fldCharType="end"/>
    </w:r>
    <w:r w:rsidRPr="001C19C4">
      <w:rPr>
        <w:rStyle w:val="Nmerodepgina"/>
        <w:color w:val="333333"/>
      </w:rPr>
      <w:t>/</w:t>
    </w:r>
    <w:fldSimple w:instr=" NUMPAGES  \* MERGEFORMAT ">
      <w:r w:rsidR="009C252B" w:rsidRPr="009C252B">
        <w:rPr>
          <w:rStyle w:val="Nmerodepgina"/>
          <w:noProof/>
          <w:color w:val="333333"/>
        </w:rPr>
        <w:t>4</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853" w:rsidRDefault="00BB5853">
      <w:r>
        <w:separator/>
      </w:r>
    </w:p>
  </w:footnote>
  <w:footnote w:type="continuationSeparator" w:id="1">
    <w:p w:rsidR="00BB5853" w:rsidRDefault="00BB58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B92B5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568A"/>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12"/>
    <w:rsid w:val="009C20D3"/>
    <w:rsid w:val="009C252B"/>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2B56"/>
    <w:rsid w:val="00BB5853"/>
    <w:rsid w:val="00BF2B7B"/>
    <w:rsid w:val="00BF71C2"/>
    <w:rsid w:val="00C01BA0"/>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15F7"/>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B5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C01BA0"/>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99AFF7-0B87-4F92-A0CF-73983EEF5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20</TotalTime>
  <Pages>4</Pages>
  <Words>1056</Words>
  <Characters>5552</Characters>
  <Application>Microsoft Office Word</Application>
  <DocSecurity>0</DocSecurity>
  <Lines>143</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2022-08-30T14:52:00Z</cp:lastPrinted>
  <dcterms:created xsi:type="dcterms:W3CDTF">2022-08-21T16:23:00Z</dcterms:created>
  <dcterms:modified xsi:type="dcterms:W3CDTF">2022-08-30T14:53:00Z</dcterms:modified>
</cp:coreProperties>
</file>