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1E064" w14:textId="77777777" w:rsidR="00B2053A" w:rsidRDefault="00B2053A" w:rsidP="00B2053A"/>
    <w:p w14:paraId="41BA14E6" w14:textId="77777777" w:rsidR="00B2053A" w:rsidRDefault="00B2053A" w:rsidP="00B2053A"/>
    <w:p w14:paraId="1AC09AB7" w14:textId="77777777" w:rsidR="00B2053A" w:rsidRDefault="00B2053A" w:rsidP="00B2053A">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RESOLUCIÓN</w:t>
      </w:r>
    </w:p>
    <w:p w14:paraId="69FC2C2E" w14:textId="77777777" w:rsidR="00B2053A" w:rsidRDefault="00B2053A" w:rsidP="00B2053A">
      <w:pPr>
        <w:spacing w:line="360" w:lineRule="auto"/>
        <w:jc w:val="both"/>
        <w:rPr>
          <w:rFonts w:ascii="Times New Roman" w:eastAsia="Times New Roman" w:hAnsi="Times New Roman" w:cs="Times New Roman"/>
          <w:b/>
          <w:sz w:val="24"/>
          <w:szCs w:val="24"/>
        </w:rPr>
      </w:pPr>
    </w:p>
    <w:p w14:paraId="0A37C86A" w14:textId="77777777" w:rsidR="00B2053A" w:rsidRDefault="00B2053A" w:rsidP="00B2053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El Poder Ejecutivo informará, a través de los organismos correspondientes, dentro de los 30 (treinta) días de recibida la presente, sobre los siguientes puntos referidos a los nuevos espacios verdes generados en el marco de la Ley 5.799/2017 que establece el Proyecto Integral de Reurbanización (PIRU) del barrio Playón de Chacarita de la Comuna 15:</w:t>
      </w:r>
    </w:p>
    <w:p w14:paraId="19104CF9" w14:textId="77777777" w:rsidR="00B2053A" w:rsidRDefault="00B2053A" w:rsidP="00B2053A">
      <w:pPr>
        <w:spacing w:line="360" w:lineRule="auto"/>
        <w:jc w:val="both"/>
        <w:rPr>
          <w:rFonts w:ascii="Times New Roman" w:eastAsia="Times New Roman" w:hAnsi="Times New Roman" w:cs="Times New Roman"/>
          <w:sz w:val="24"/>
          <w:szCs w:val="24"/>
        </w:rPr>
      </w:pPr>
    </w:p>
    <w:p w14:paraId="2165A45B"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la cantidad y ubicación de los nuevos espacios verdes generados en la Comuna 15 en el marco del PIRU del barrio Playón de Chacarita.</w:t>
      </w:r>
    </w:p>
    <w:p w14:paraId="535EFDDD"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si el diseño finalmente ejecutado en los nuevos espacios verdes fue definido en el marco de los mecanismos de participación establecidos en el artículo 9 de la Ley 5.799.</w:t>
      </w:r>
    </w:p>
    <w:p w14:paraId="7E3DFA12"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Indique con qué equipamiento urbano cuentan los nuevos espacios verdes a los que refiere el punto anterior, detallando el mobiliario, alumbrado público e instalaciones especiales existentes. </w:t>
      </w:r>
    </w:p>
    <w:p w14:paraId="2AAF8F3C"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si dichos espacios verdes fueron traspasados por el Ministerio de Espacio Público e Higiene Urbana a la Comuna 15 para la debida planificación, cuidado y control de su mantenimiento en los términos del artículo 10 inciso b. de la Ley orgánica de comunas (1.777/2005). En caso afirmativo detalle individualizando por espacio verde, monto de presupuesto anual afectado al mantenimiento por parte de la Comuna.</w:t>
      </w:r>
    </w:p>
    <w:p w14:paraId="2C16ACAB"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qué acciones de mantenimiento lleva adelante la Comuna 15 en dichos espacios, detallando días y horarios de limpieza, días y horarios de poda, riego y mantenimiento de la vegetación.</w:t>
      </w:r>
    </w:p>
    <w:p w14:paraId="7CEAD49D"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las especies arbóreas instaladas en las mencionadas plazas y las acciones de mantenimiento que se realizan sobre ellas</w:t>
      </w:r>
    </w:p>
    <w:p w14:paraId="57EB8997" w14:textId="77777777" w:rsidR="00B2053A" w:rsidRDefault="00B2053A" w:rsidP="00B2053A">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si el Gobierno de la Ciudad planea la instalación de nuevo equipamiento urbano en los espacios verdes del Playón de Chacarita, en caso de que la respuesta sea afirmativa, detalle de qué tipo de equipamiento se trata y cuáles son los plazos definidos para su colocación.</w:t>
      </w:r>
    </w:p>
    <w:p w14:paraId="020A37C2" w14:textId="72537416" w:rsidR="00B2053A" w:rsidRDefault="00B2053A" w:rsidP="00B2053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Art.2</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Comuníquese, etc.</w:t>
      </w:r>
    </w:p>
    <w:p w14:paraId="06995201" w14:textId="42EB93F4" w:rsidR="00B2053A" w:rsidRDefault="00B2053A" w:rsidP="00B2053A">
      <w:pPr>
        <w:spacing w:line="240" w:lineRule="auto"/>
        <w:jc w:val="both"/>
        <w:rPr>
          <w:rFonts w:ascii="Times New Roman" w:eastAsia="Times New Roman" w:hAnsi="Times New Roman" w:cs="Times New Roman"/>
          <w:sz w:val="24"/>
          <w:szCs w:val="24"/>
        </w:rPr>
      </w:pPr>
    </w:p>
    <w:p w14:paraId="6297DC31" w14:textId="77777777" w:rsidR="00B2053A" w:rsidRDefault="00B2053A" w:rsidP="00B2053A">
      <w:pPr>
        <w:spacing w:line="240" w:lineRule="auto"/>
        <w:jc w:val="both"/>
        <w:rPr>
          <w:rFonts w:ascii="Times New Roman" w:eastAsia="Times New Roman" w:hAnsi="Times New Roman" w:cs="Times New Roman"/>
          <w:sz w:val="24"/>
          <w:szCs w:val="24"/>
        </w:rPr>
      </w:pPr>
    </w:p>
    <w:p w14:paraId="5D09AF0B" w14:textId="77777777" w:rsidR="00B2053A" w:rsidRDefault="00B2053A" w:rsidP="00B2053A">
      <w:pPr>
        <w:spacing w:line="360" w:lineRule="auto"/>
        <w:jc w:val="both"/>
        <w:rPr>
          <w:rFonts w:ascii="Times New Roman" w:eastAsia="Times New Roman" w:hAnsi="Times New Roman" w:cs="Times New Roman"/>
          <w:sz w:val="24"/>
          <w:szCs w:val="24"/>
        </w:rPr>
      </w:pPr>
    </w:p>
    <w:p w14:paraId="578D2139" w14:textId="77777777" w:rsidR="00B2053A" w:rsidRDefault="00B2053A" w:rsidP="00B2053A">
      <w:pPr>
        <w:spacing w:line="360" w:lineRule="auto"/>
        <w:jc w:val="both"/>
        <w:rPr>
          <w:rFonts w:ascii="Times New Roman" w:eastAsia="Times New Roman" w:hAnsi="Times New Roman" w:cs="Times New Roman"/>
          <w:sz w:val="24"/>
          <w:szCs w:val="24"/>
        </w:rPr>
      </w:pPr>
    </w:p>
    <w:p w14:paraId="5C406B96" w14:textId="76E73ADC" w:rsidR="00B2053A" w:rsidRDefault="00B2053A" w:rsidP="00B2053A">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14:paraId="4058C358" w14:textId="284AE980" w:rsidR="00B2053A" w:rsidRDefault="00B2053A" w:rsidP="00B2053A">
      <w:pPr>
        <w:spacing w:line="360" w:lineRule="auto"/>
        <w:jc w:val="center"/>
        <w:rPr>
          <w:rFonts w:ascii="Times New Roman" w:eastAsia="Times New Roman" w:hAnsi="Times New Roman" w:cs="Times New Roman"/>
          <w:b/>
          <w:sz w:val="24"/>
          <w:szCs w:val="24"/>
        </w:rPr>
      </w:pPr>
    </w:p>
    <w:p w14:paraId="5CECA7DE" w14:textId="506A4DAC" w:rsidR="00B2053A" w:rsidRDefault="00B2053A" w:rsidP="00B2053A">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Sr. </w:t>
      </w:r>
      <w:proofErr w:type="gramStart"/>
      <w:r>
        <w:rPr>
          <w:rFonts w:ascii="Times New Roman" w:eastAsia="Times New Roman" w:hAnsi="Times New Roman" w:cs="Times New Roman"/>
          <w:b/>
          <w:sz w:val="24"/>
          <w:szCs w:val="24"/>
        </w:rPr>
        <w:t>Presidente</w:t>
      </w:r>
      <w:proofErr w:type="gramEnd"/>
      <w:r>
        <w:rPr>
          <w:rFonts w:ascii="Times New Roman" w:eastAsia="Times New Roman" w:hAnsi="Times New Roman" w:cs="Times New Roman"/>
          <w:b/>
          <w:sz w:val="24"/>
          <w:szCs w:val="24"/>
        </w:rPr>
        <w:t>:</w:t>
      </w:r>
    </w:p>
    <w:p w14:paraId="2E6C3834" w14:textId="77777777" w:rsidR="00B2053A" w:rsidRDefault="00B2053A" w:rsidP="00B2053A">
      <w:pPr>
        <w:spacing w:line="360" w:lineRule="auto"/>
        <w:jc w:val="center"/>
        <w:rPr>
          <w:rFonts w:ascii="Times New Roman" w:eastAsia="Times New Roman" w:hAnsi="Times New Roman" w:cs="Times New Roman"/>
          <w:sz w:val="24"/>
          <w:szCs w:val="24"/>
        </w:rPr>
      </w:pPr>
    </w:p>
    <w:p w14:paraId="08B4ED26" w14:textId="77777777" w:rsidR="00B2053A" w:rsidRDefault="00B2053A" w:rsidP="00B2053A">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año 2017 esta legislatura aprobó la Ley 5.799 para “la reurbanización, zonificación e integración social, cultural, ambiental y urbana del Barrio denominado Playón Chacarita; ello basado en los principios de igualdad, de justicia espacial, de integración, de no discriminación y del derecho a la Ciudad”, el Instituto de Vivienda de la Ciudad fue designado como la Autoridad de Aplicación de dicha normativa y en consecuencia desde el año 2017 avanza en la implementación del Proyecto Integral de reurbanización (PIRU) del barrio Playón de Chacarita ubicado en la Comuna 15 de la ciudad.</w:t>
      </w:r>
    </w:p>
    <w:p w14:paraId="1FFA7E82" w14:textId="77777777" w:rsidR="00B2053A" w:rsidRDefault="00B2053A" w:rsidP="00B2053A">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Dado que la Ley 5.799 crea una Mesa de Gestión Participativa (MGP) como órgano de decisión del PIRU y que en la mesa se trabajó en el diseño del nuevo conjunto habitacional que además de 678 departamentos y 68 locales comerciales incorpora nuevas plazas públicas para el barrio y la Comuna 15, y que además el IVC realizó en el año 2018 talleres con habitantes del Playón de Chacarita para relevar los deseos en relación a los nuevos espacios verdes del barrio en los que manifestaron la relevancia de contar con arbolado, luminaria pública, juegos para niñes, espacios accesibles para personas con movilidad reducida, entre otras cuestiones, consideramos relevante conocer el estado de avance de las obras propuestas para los espacios diseñados así como su estado de mantenimiento en los términos de la Ley Orgánica de las Comunas (</w:t>
      </w:r>
      <w:proofErr w:type="spellStart"/>
      <w:r>
        <w:rPr>
          <w:rFonts w:ascii="Times New Roman" w:eastAsia="Times New Roman" w:hAnsi="Times New Roman" w:cs="Times New Roman"/>
          <w:sz w:val="24"/>
          <w:szCs w:val="24"/>
        </w:rPr>
        <w:t>Nº</w:t>
      </w:r>
      <w:proofErr w:type="spellEnd"/>
      <w:r>
        <w:rPr>
          <w:rFonts w:ascii="Times New Roman" w:eastAsia="Times New Roman" w:hAnsi="Times New Roman" w:cs="Times New Roman"/>
          <w:sz w:val="24"/>
          <w:szCs w:val="24"/>
        </w:rPr>
        <w:t xml:space="preserve"> 1.777), a cargo de la Comuna 15. </w:t>
      </w:r>
    </w:p>
    <w:p w14:paraId="67D40170" w14:textId="77777777" w:rsidR="00B2053A" w:rsidRDefault="00B2053A" w:rsidP="00B2053A">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mencionar que la Comuna 15 cuenta con uno de los índices más bajos de espacio público por habitantes de la ciudad de Buenos Aires con un 0,17m2</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por persona, mientras que la recomendación internacional es de 10 metros cuadrados por habitantes, por lo </w:t>
      </w:r>
      <w:proofErr w:type="gramStart"/>
      <w:r>
        <w:rPr>
          <w:rFonts w:ascii="Times New Roman" w:eastAsia="Times New Roman" w:hAnsi="Times New Roman" w:cs="Times New Roman"/>
          <w:sz w:val="24"/>
          <w:szCs w:val="24"/>
        </w:rPr>
        <w:t>tanto</w:t>
      </w:r>
      <w:proofErr w:type="gramEnd"/>
      <w:r>
        <w:rPr>
          <w:rFonts w:ascii="Times New Roman" w:eastAsia="Times New Roman" w:hAnsi="Times New Roman" w:cs="Times New Roman"/>
          <w:sz w:val="24"/>
          <w:szCs w:val="24"/>
        </w:rPr>
        <w:t xml:space="preserve"> el funcionamiento adecuado de los pocos espacios existentes es de gran relevancia no sólo para les habitantes de Playón de Chacarita sino de la comuna en su conjunto.</w:t>
      </w:r>
    </w:p>
    <w:p w14:paraId="4B481914" w14:textId="77777777" w:rsidR="00B2053A" w:rsidRDefault="00B2053A" w:rsidP="00B2053A">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anterior, solicitamos a este cuerpo la aprobación del presente proyecto de resolución. </w:t>
      </w:r>
    </w:p>
    <w:p w14:paraId="27F6E39E" w14:textId="77777777" w:rsidR="00B2053A" w:rsidRDefault="00B2053A" w:rsidP="00B2053A">
      <w:pPr>
        <w:spacing w:line="360" w:lineRule="auto"/>
        <w:jc w:val="both"/>
        <w:rPr>
          <w:rFonts w:ascii="Times New Roman" w:eastAsia="Times New Roman" w:hAnsi="Times New Roman" w:cs="Times New Roman"/>
          <w:sz w:val="24"/>
          <w:szCs w:val="24"/>
        </w:rPr>
      </w:pPr>
    </w:p>
    <w:p w14:paraId="4586E596" w14:textId="77777777" w:rsidR="00B2053A" w:rsidRDefault="00B2053A" w:rsidP="00B2053A">
      <w:pPr>
        <w:spacing w:line="360" w:lineRule="auto"/>
        <w:jc w:val="both"/>
        <w:rPr>
          <w:rFonts w:ascii="Times New Roman" w:eastAsia="Times New Roman" w:hAnsi="Times New Roman" w:cs="Times New Roman"/>
          <w:sz w:val="24"/>
          <w:szCs w:val="24"/>
        </w:rPr>
      </w:pPr>
    </w:p>
    <w:p w14:paraId="7F5D49A8" w14:textId="77777777"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0CCD5" w14:textId="77777777" w:rsidR="00B2053A" w:rsidRDefault="00B2053A">
      <w:r>
        <w:separator/>
      </w:r>
    </w:p>
  </w:endnote>
  <w:endnote w:type="continuationSeparator" w:id="0">
    <w:p w14:paraId="4AEBD918" w14:textId="77777777" w:rsidR="00B2053A" w:rsidRDefault="00B2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7B83" w14:textId="77777777" w:rsidR="00601A75" w:rsidRPr="001C19C4" w:rsidRDefault="00601A75">
    <w:pPr>
      <w:pStyle w:val="Piedepgina"/>
      <w:rPr>
        <w:color w:val="333333"/>
        <w:sz w:val="20"/>
      </w:rPr>
    </w:pPr>
    <w:bookmarkStart w:id="0" w:name="Proyecto"/>
    <w:bookmarkEnd w:id="0"/>
  </w:p>
  <w:p w14:paraId="72975AAE" w14:textId="55CE33AA" w:rsidR="00601A75" w:rsidRPr="001C19C4" w:rsidRDefault="00601A75">
    <w:pPr>
      <w:pStyle w:val="Piedepgina"/>
      <w:rPr>
        <w:color w:val="333333"/>
        <w:sz w:val="20"/>
      </w:rPr>
    </w:pPr>
    <w:r w:rsidRPr="001C19C4">
      <w:rPr>
        <w:color w:val="333333"/>
        <w:sz w:val="20"/>
      </w:rPr>
      <w:t xml:space="preserve">Último cambio: </w:t>
    </w:r>
    <w:r w:rsidR="00B2053A">
      <w:rPr>
        <w:color w:val="333333"/>
        <w:sz w:val="20"/>
      </w:rPr>
      <w:fldChar w:fldCharType="begin"/>
    </w:r>
    <w:r w:rsidR="00B2053A">
      <w:rPr>
        <w:color w:val="333333"/>
        <w:sz w:val="20"/>
        <w:lang w:val="es-ES"/>
      </w:rPr>
      <w:instrText xml:space="preserve"> TIME \@ "dd/MM/yyyy H:mm:ss" </w:instrText>
    </w:r>
    <w:r w:rsidR="00B2053A">
      <w:rPr>
        <w:color w:val="333333"/>
        <w:sz w:val="20"/>
      </w:rPr>
      <w:fldChar w:fldCharType="separate"/>
    </w:r>
    <w:r w:rsidR="002B015C">
      <w:rPr>
        <w:noProof/>
        <w:color w:val="333333"/>
        <w:sz w:val="20"/>
        <w:lang w:val="es-ES"/>
      </w:rPr>
      <w:t>20/04/2022 13:42:16</w:t>
    </w:r>
    <w:r w:rsidR="00B2053A">
      <w:rPr>
        <w:color w:val="333333"/>
        <w:sz w:val="20"/>
      </w:rPr>
      <w:fldChar w:fldCharType="end"/>
    </w:r>
    <w:r w:rsidRPr="001C19C4">
      <w:rPr>
        <w:color w:val="333333"/>
        <w:sz w:val="20"/>
      </w:rPr>
      <w:t xml:space="preserve">  -  Cantidad de caracteres: </w:t>
    </w:r>
    <w:fldSimple w:instr=" NUMCHARS  \* MERGEFORMAT ">
      <w:r w:rsidR="00B2053A" w:rsidRPr="00B2053A">
        <w:rPr>
          <w:noProof/>
          <w:color w:val="333333"/>
          <w:sz w:val="20"/>
        </w:rPr>
        <w:t>3330</w:t>
      </w:r>
    </w:fldSimple>
    <w:r w:rsidRPr="001C19C4">
      <w:rPr>
        <w:color w:val="333333"/>
        <w:sz w:val="20"/>
      </w:rPr>
      <w:t xml:space="preserve"> - Cantidad de palabras: </w:t>
    </w:r>
    <w:fldSimple w:instr=" NUMWORDS  \* MERGEFORMAT ">
      <w:r w:rsidR="00B2053A" w:rsidRPr="00B2053A">
        <w:rPr>
          <w:noProof/>
          <w:color w:val="333333"/>
          <w:sz w:val="20"/>
        </w:rPr>
        <w:t>642</w:t>
      </w:r>
    </w:fldSimple>
  </w:p>
  <w:p w14:paraId="337EBC6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200F54C7"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8CB63" w14:textId="77777777" w:rsidR="00B2053A" w:rsidRDefault="00B2053A">
      <w:r>
        <w:separator/>
      </w:r>
    </w:p>
  </w:footnote>
  <w:footnote w:type="continuationSeparator" w:id="0">
    <w:p w14:paraId="1461C4AF" w14:textId="77777777" w:rsidR="00B2053A" w:rsidRDefault="00B2053A">
      <w:r>
        <w:continuationSeparator/>
      </w:r>
    </w:p>
  </w:footnote>
  <w:footnote w:id="1">
    <w:p w14:paraId="63228661" w14:textId="77777777" w:rsidR="00B2053A" w:rsidRDefault="00B2053A" w:rsidP="00B2053A">
      <w:pPr>
        <w:spacing w:line="240" w:lineRule="auto"/>
        <w:rPr>
          <w:sz w:val="20"/>
          <w:szCs w:val="20"/>
        </w:rPr>
      </w:pPr>
      <w:r>
        <w:rPr>
          <w:vertAlign w:val="superscript"/>
        </w:rPr>
        <w:footnoteRef/>
      </w:r>
      <w:r>
        <w:rPr>
          <w:sz w:val="20"/>
          <w:szCs w:val="20"/>
        </w:rPr>
        <w:t xml:space="preserve"> El dato corresponde al año 2018 y es el último publicado por la Dirección General de Estadísticas y Censos de CABA en </w:t>
      </w:r>
      <w:hyperlink r:id="rId1">
        <w:r>
          <w:rPr>
            <w:color w:val="1155CC"/>
            <w:sz w:val="20"/>
            <w:szCs w:val="20"/>
            <w:u w:val="single"/>
          </w:rPr>
          <w:t>https://www.estadisticaciudad.gob.ar/eyc/?p=27349</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4D3F" w14:textId="77777777" w:rsidR="0033168A" w:rsidRDefault="00E5658D" w:rsidP="0033168A">
    <w:pPr>
      <w:pStyle w:val="Encabezado"/>
      <w:ind w:left="-2410" w:firstLine="850"/>
      <w:jc w:val="center"/>
      <w:rPr>
        <w:i/>
        <w:sz w:val="18"/>
        <w:szCs w:val="18"/>
      </w:rPr>
    </w:pPr>
    <w:r>
      <w:rPr>
        <w:noProof/>
        <w:lang w:val="es-AR"/>
      </w:rPr>
      <w:drawing>
        <wp:inline distT="0" distB="0" distL="0" distR="0" wp14:anchorId="1EB45146" wp14:editId="069EB63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3DD3F74"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21C5A"/>
    <w:multiLevelType w:val="multilevel"/>
    <w:tmpl w:val="A462D7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4918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53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015C"/>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5D7E"/>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053A"/>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8D49C"/>
  <w15:docId w15:val="{1FC695C8-D97C-4607-ACE2-6A602FE79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53A"/>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stadisticaciudad.gob.ar/eyc/?p=2734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pal\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610</Words>
  <Characters>3357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Rocío Palacín</dc:creator>
  <cp:lastModifiedBy>Rocío</cp:lastModifiedBy>
  <cp:revision>2</cp:revision>
  <cp:lastPrinted>2020-02-28T17:24:00Z</cp:lastPrinted>
  <dcterms:created xsi:type="dcterms:W3CDTF">2022-04-20T16:43:00Z</dcterms:created>
  <dcterms:modified xsi:type="dcterms:W3CDTF">2022-04-20T16:43:00Z</dcterms:modified>
</cp:coreProperties>
</file>