
<file path=[Content_Types].xml><?xml version="1.0" encoding="utf-8"?>
<Types xmlns="http://schemas.openxmlformats.org/package/2006/content-types">
  <Override PartName="/word/footnotes.xml" ContentType="application/vnd.openxmlformats-officedocument.wordprocessingml.footnotes+xml"/>
  <Override PartName="/customXml/itemProps1.xml" ContentType="application/vnd.openxmlformats-officedocument.customXmlProperties+xml"/>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08402C" w:rsidRDefault="0008402C" w:rsidP="0008402C"/>
    <w:p w:rsidR="0008402C" w:rsidRDefault="0008402C" w:rsidP="0008402C">
      <w:pPr>
        <w:jc w:val="center"/>
        <w:rPr>
          <w:b/>
        </w:rPr>
      </w:pPr>
      <w:bookmarkStart w:id="0" w:name="bookmark=id.gjdgxs"/>
      <w:bookmarkEnd w:id="0"/>
      <w:r>
        <w:rPr>
          <w:b/>
        </w:rPr>
        <w:t>PROYECTO DE DECLARACIÓN</w:t>
      </w:r>
    </w:p>
    <w:p w:rsidR="0008402C" w:rsidRDefault="0008402C" w:rsidP="0008402C">
      <w:pPr>
        <w:rPr>
          <w:b/>
        </w:rPr>
      </w:pPr>
    </w:p>
    <w:p w:rsidR="0008402C" w:rsidRDefault="0008402C" w:rsidP="0008402C">
      <w:pPr>
        <w:shd w:val="clear" w:color="auto" w:fill="FFFFFF"/>
      </w:pPr>
      <w:r>
        <w:t> </w:t>
      </w:r>
    </w:p>
    <w:p w:rsidR="0008402C" w:rsidRDefault="0008402C" w:rsidP="0008402C">
      <w:pPr>
        <w:shd w:val="clear" w:color="auto" w:fill="FFFFFF"/>
      </w:pPr>
      <w:bookmarkStart w:id="1" w:name="_heading=h.gjdgxs"/>
      <w:bookmarkEnd w:id="1"/>
      <w:r>
        <w:t>Declárase de interés jurídico para la Ciudad Autónoma de Buenos Aires el libro “Las sanciones administrativas”, de autoría del Dr. Alfredo Silverio Gusman publicado por la Editorial Ad Hoc.</w:t>
      </w:r>
    </w:p>
    <w:p w:rsidR="0008402C" w:rsidRDefault="0008402C" w:rsidP="0008402C">
      <w:pPr>
        <w:shd w:val="clear" w:color="auto" w:fill="FFFFFF"/>
      </w:pPr>
      <w:r>
        <w:t> </w:t>
      </w:r>
    </w:p>
    <w:p w:rsidR="0008402C" w:rsidRDefault="0008402C" w:rsidP="0008402C">
      <w:r>
        <w:rPr>
          <w:highlight w:val="white"/>
        </w:rPr>
        <w:br/>
      </w:r>
    </w:p>
    <w:p w:rsidR="0008402C" w:rsidRDefault="0008402C" w:rsidP="0008402C">
      <w:pPr>
        <w:shd w:val="clear" w:color="auto" w:fill="FFFFFF"/>
      </w:pPr>
      <w:r>
        <w:t> </w:t>
      </w:r>
    </w:p>
    <w:p w:rsidR="0008402C" w:rsidRDefault="0008402C" w:rsidP="0008402C">
      <w:pPr>
        <w:rPr>
          <w:b/>
        </w:rPr>
      </w:pPr>
      <w:r>
        <w:br w:type="page"/>
      </w:r>
    </w:p>
    <w:p w:rsidR="0008402C" w:rsidRDefault="0008402C" w:rsidP="0008402C">
      <w:pPr>
        <w:shd w:val="clear" w:color="auto" w:fill="FFFFFF"/>
        <w:jc w:val="center"/>
      </w:pPr>
      <w:r>
        <w:rPr>
          <w:b/>
        </w:rPr>
        <w:lastRenderedPageBreak/>
        <w:t>FUNDAMENTOS</w:t>
      </w:r>
    </w:p>
    <w:p w:rsidR="0008402C" w:rsidRDefault="0008402C" w:rsidP="0008402C">
      <w:pPr>
        <w:shd w:val="clear" w:color="auto" w:fill="FFFFFF"/>
      </w:pPr>
      <w:r>
        <w:t> </w:t>
      </w:r>
    </w:p>
    <w:p w:rsidR="0008402C" w:rsidRDefault="0008402C" w:rsidP="0008402C">
      <w:pPr>
        <w:shd w:val="clear" w:color="auto" w:fill="FFFFFF"/>
      </w:pPr>
      <w:r>
        <w:t>Sr. Presidente:</w:t>
      </w:r>
    </w:p>
    <w:p w:rsidR="0008402C" w:rsidRDefault="0008402C" w:rsidP="0008402C"/>
    <w:p w:rsidR="0008402C" w:rsidRDefault="0008402C" w:rsidP="0008402C">
      <w:pPr>
        <w:spacing w:line="360" w:lineRule="auto"/>
        <w:ind w:firstLine="708"/>
        <w:rPr>
          <w:lang w:val="es-AR"/>
        </w:rPr>
      </w:pPr>
      <w:r>
        <w:rPr>
          <w:lang w:val="es-AR"/>
        </w:rPr>
        <w:t>Durante el presente año, el doctor Alfredo Silverio GUSMAN, ha presentado un nuevo libro, titulado “Las Sanciones Administrativas”, publicado por la editorial Ad Hoc.</w:t>
      </w:r>
    </w:p>
    <w:p w:rsidR="0008402C" w:rsidRDefault="0008402C" w:rsidP="0008402C">
      <w:pPr>
        <w:spacing w:line="360" w:lineRule="auto"/>
        <w:rPr>
          <w:lang w:val="es-AR"/>
        </w:rPr>
      </w:pPr>
      <w:r>
        <w:rPr>
          <w:lang w:val="es-AR"/>
        </w:rPr>
        <w:tab/>
        <w:t>En lo que concierne a la obra, tal como lo indica el prólogo que escribe el Profesor José Luis López Castiñeira, la claridad expositiva, su precisión de análisis, sumada a la profusa doctrina y jurisprudencia que cita, la torna imprescindible para todos los operadores del sistema de justicia al brindar una sistematización de los distintos principios en materia penal y la medida de su aplicación en el ámbito del derecho administrativo sancionador.</w:t>
      </w:r>
    </w:p>
    <w:p w:rsidR="0008402C" w:rsidRDefault="0008402C" w:rsidP="0008402C">
      <w:pPr>
        <w:spacing w:line="360" w:lineRule="auto"/>
        <w:rPr>
          <w:lang w:val="es-AR"/>
        </w:rPr>
      </w:pPr>
      <w:r>
        <w:rPr>
          <w:lang w:val="es-AR"/>
        </w:rPr>
        <w:tab/>
        <w:t>De la lectura del libro, se extrae claridad respecto a las garantías que sirven como límite a la potestad sancionadora estatal, lo cual constituye un significativo aporte para la seguridad jurídica y como instrumento contra las arbitrariedades en el ejercicio de la potestad sancionadora, proponiendo una solución a un problema jurídico todavía no resuelto. La labor del Profesor Gusman conduce a poder determinar con mayor precisión las condiciones de validez constitucional del ejercicio de tal potestad, en pos de su uso racional.</w:t>
      </w:r>
    </w:p>
    <w:p w:rsidR="0008402C" w:rsidRDefault="0008402C" w:rsidP="0008402C">
      <w:pPr>
        <w:spacing w:line="360" w:lineRule="auto"/>
        <w:rPr>
          <w:lang w:val="es-AR"/>
        </w:rPr>
      </w:pPr>
      <w:r>
        <w:rPr>
          <w:lang w:val="es-AR"/>
        </w:rPr>
        <w:tab/>
        <w:t xml:space="preserve">En definitiva, la obra logra identificar los matices propios del derecho administrativo sancionador que tantas veces son mencionados por autores y fallos pero que no siempre son especificados con claridad, al menos con las particularidades del derecho público argentino.  </w:t>
      </w:r>
    </w:p>
    <w:p w:rsidR="0008402C" w:rsidRDefault="0008402C" w:rsidP="0008402C">
      <w:pPr>
        <w:spacing w:line="360" w:lineRule="auto"/>
        <w:rPr>
          <w:lang w:val="es-AR"/>
        </w:rPr>
      </w:pPr>
      <w:r>
        <w:rPr>
          <w:lang w:val="es-AR"/>
        </w:rPr>
        <w:tab/>
        <w:t>Asimismo, todas las instituciones jurídicas que el libro desarrolla son abordadas desde la óptica del Derecho Internacional de los Derechos Humanos y los Tratados jerarquizados a nivel constitucional por el art. 75 inc. 22 de la Constitución Nacional y en el art. 10 de la Constitución de la Ciudad Autónoma de Buenos Aires.</w:t>
      </w:r>
      <w:r>
        <w:rPr>
          <w:lang w:val="es-AR"/>
        </w:rPr>
        <w:tab/>
      </w:r>
    </w:p>
    <w:p w:rsidR="0008402C" w:rsidRDefault="0008402C" w:rsidP="0008402C">
      <w:pPr>
        <w:spacing w:line="360" w:lineRule="auto"/>
        <w:rPr>
          <w:lang w:val="es-AR"/>
        </w:rPr>
      </w:pPr>
      <w:r>
        <w:rPr>
          <w:lang w:val="es-AR"/>
        </w:rPr>
        <w:tab/>
        <w:t xml:space="preserve">En cuanto al autor, Dr. Gusman, corresponde señalar que es Doctor en Derecho, egresado de la Universidad del Museo Social Argentino con tesis defendida aprobada con nota sobresaliente 10: “La aplicación de los principios del derecho penal al derecho administrativo sancionador”. Asimismo, es </w:t>
      </w:r>
      <w:r>
        <w:t xml:space="preserve">Especialista en Derecho Administrativo y Administración Pública, título de posgrado expedido por la Facultad de Derecho y Ciencias Sociales de la Universidad de Buenos Aires y ha aprobado estudios de posgrado sobre </w:t>
      </w:r>
      <w:r>
        <w:rPr>
          <w:lang w:val="es-AR"/>
        </w:rPr>
        <w:t xml:space="preserve">“Derecho Internacional y Poder Judicial”, en la Universidad de Yale, New Heaven, Estados Unidos de América. </w:t>
      </w:r>
    </w:p>
    <w:p w:rsidR="0008402C" w:rsidRDefault="0008402C" w:rsidP="0008402C">
      <w:pPr>
        <w:spacing w:line="360" w:lineRule="auto"/>
        <w:ind w:firstLine="708"/>
        <w:rPr>
          <w:lang w:val="es-AR"/>
        </w:rPr>
      </w:pPr>
      <w:r>
        <w:t xml:space="preserve">El Dr. Gusman </w:t>
      </w:r>
      <w:r>
        <w:rPr>
          <w:lang w:val="es-AR"/>
        </w:rPr>
        <w:t xml:space="preserve">es en la actualidad Presidente de la Sala II de la Cámara Federal Civil y Comercial, y se desempeña como Profesor Adjunto Regular en la Facultad de Derecho de la Universidad de Buenos Aires en las materias Derecho Constitucional y </w:t>
      </w:r>
      <w:r>
        <w:rPr>
          <w:lang w:val="es-AR"/>
        </w:rPr>
        <w:lastRenderedPageBreak/>
        <w:t xml:space="preserve">Derecho Administrativo y de Derecho Administrativo en el Instituto Superior de Seguridad Pública de la Ciudad Autónoma de Buenos Aires. Anteriormente tuvo una amplia trayectoria en esta Ciudad, habiéndose desempeñado como Asesor en la por entonces Secretaría de Gobierno, en la Procuración General y como Fiscal en lo Contencioso Administrativo y Tributario en la etapa fundacional del fuero luego de haber sido designado por concurso. </w:t>
      </w:r>
    </w:p>
    <w:p w:rsidR="0008402C" w:rsidRDefault="0008402C" w:rsidP="0008402C">
      <w:pPr>
        <w:spacing w:line="360" w:lineRule="auto"/>
        <w:ind w:firstLine="708"/>
        <w:rPr>
          <w:lang w:val="es-AR"/>
        </w:rPr>
      </w:pPr>
      <w:r>
        <w:rPr>
          <w:lang w:val="es-AR"/>
        </w:rPr>
        <w:t xml:space="preserve">Su interés por las instituciones locales quedó reflejada en el libro pues dedica especial análisis al derecho público de la Ciudad Autónoma de Buenos Aires. Por ejemplo, cuando comenta de manera elogiosa el art. 465 de su Código Contencioso Administrativo y Tributario -referido al trámite de las “impugnaciones judiciales directas” (según la terminología del propio autor)-, norma que califica como “ … un ejemplo de correcto abordaje legislativo …” (pág. 186); la derogación del inc. 5 del art. 22 de la Ley 210 por parte de la Ley 2867 -que suprime la exigencia del pago previo de las multas impuestas por el Ente Único Regulador de Servicios Públicos de la Ciudad Autónoma de Buenos Aires- (pág. 198), el art. 123 de la Constitución porteña -que fija al Consejo de la Magistratura un plazo abreviado de 60 días para resolver si acusará a un Magistrado- (pág. 154), el examen de la sanción de contrapublicidad prevista en el art. 17 de la Ley 757 en materia de defensa del consumidor (pág. 42), etc.  </w:t>
      </w:r>
    </w:p>
    <w:p w:rsidR="0008402C" w:rsidRDefault="0008402C" w:rsidP="0008402C">
      <w:pPr>
        <w:spacing w:line="360" w:lineRule="auto"/>
      </w:pPr>
      <w:r>
        <w:rPr>
          <w:lang w:val="es-AR"/>
        </w:rPr>
        <w:tab/>
        <w:t xml:space="preserve">El Dr. Gusman es autor de otras obras, tales como: </w:t>
      </w:r>
      <w:r>
        <w:t>“Juicio de amparo por mora de la Administración”, publicado por Editorial Hammurabi durante 2014, declarado de interés jurídico por la Legislatura de la Ciudad Autónoma de Buenos Aires por Resolución 95/14. “Análisis de Derecho Constitucional Económico”, publicado por Editorial Ad Hoc durante 2011,  con prólogo del Dr. Daniel Sabsay, declarado de interés jurídico por la Legislatura de la Ciudad Autónoma de Buenos Aires, por Resolución Nº 423/11 y “Competencia de la Justicia Contencioso Administrativa y Tributaria de la Ciudad de Buenos Aires”, publicado por Ediciones RAP, diciembre de 2005, libro declarado de interés jurídico por la Legislatura de la Ciudad Autónoma de Buenos Aires por medio de la Resolución 559/2006</w:t>
      </w:r>
    </w:p>
    <w:p w:rsidR="0008402C" w:rsidRDefault="0008402C" w:rsidP="0008402C">
      <w:pPr>
        <w:spacing w:line="360" w:lineRule="auto"/>
        <w:rPr>
          <w:lang w:val="es-AR" w:eastAsia="es-ES_tradnl"/>
        </w:rPr>
      </w:pPr>
      <w:r>
        <w:rPr>
          <w:rFonts w:ascii="Arial" w:hAnsi="Arial"/>
        </w:rPr>
        <w:tab/>
      </w:r>
      <w:r>
        <w:t xml:space="preserve">Por último, el Dr. Gusman ha recibido, entre otros, los siguientes reconocimientos: “Personalidad destacada de las Ciencias Jurídicas”, declarado por Ley 4490 de la Ciudad Autónoma de Buenos Aires. Durante el año 2019 recibió la </w:t>
      </w:r>
      <w:r>
        <w:rPr>
          <w:lang w:val="es-AR"/>
        </w:rPr>
        <w:t xml:space="preserve">“Mención Académica” otorgada por la Universidad de Buenos Aires el 2 de diciembre de 2019, registrado en el Libro de Premios Universitarios N° 7 y fue </w:t>
      </w:r>
      <w:r>
        <w:rPr>
          <w:lang w:val="es-AR" w:eastAsia="es-ES_tradnl"/>
        </w:rPr>
        <w:t xml:space="preserve">Ganador del Concurso Día Mundial de la Propiedad Intelectual, por el trabajo presentado: “Cuestiones actuales sobre litigación de patentes en Argentina”. En el año 2018 fue Ganador del Concurso Día Mundial de la Propiedad Intelectual, por el trabajo presentado: “Impacto del D.N.U. 27/2018 en la impugnación de los actos administrativos del I.N.P.I.” </w:t>
      </w:r>
    </w:p>
    <w:p w:rsidR="0008402C" w:rsidRDefault="0008402C" w:rsidP="0008402C">
      <w:pPr>
        <w:ind w:firstLine="708"/>
        <w:rPr>
          <w:lang w:eastAsia="es-AR"/>
        </w:rPr>
      </w:pPr>
      <w:r>
        <w:rPr>
          <w:lang w:eastAsia="es-AR"/>
        </w:rPr>
        <w:lastRenderedPageBreak/>
        <w:t>Por todo lo expuesto Sr. Presidente, solicito al Cuerpo la aprobación del presente proyecto de Declaración.</w:t>
      </w:r>
    </w:p>
    <w:p w:rsidR="005E3C49" w:rsidRPr="00E5658D" w:rsidRDefault="005E3C49" w:rsidP="00E5658D"/>
    <w:sectPr w:rsidR="005E3C49" w:rsidRPr="00E5658D" w:rsidSect="005E3C49">
      <w:headerReference w:type="default" r:id="rId7"/>
      <w:footerReference w:type="default" r:id="rId8"/>
      <w:pgSz w:w="12242" w:h="20163" w:code="5"/>
      <w:pgMar w:top="2977" w:right="851" w:bottom="1418" w:left="2835" w:header="720" w:footer="720" w:gutter="0"/>
      <w:cols w:space="72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6158FD" w:rsidRDefault="006158FD">
      <w:r>
        <w:separator/>
      </w:r>
    </w:p>
  </w:endnote>
  <w:endnote w:type="continuationSeparator" w:id="1">
    <w:p w:rsidR="006158FD" w:rsidRDefault="006158FD">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Tahoma">
    <w:panose1 w:val="020B0604030504040204"/>
    <w:charset w:val="00"/>
    <w:family w:val="swiss"/>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1A75" w:rsidRPr="001C19C4" w:rsidRDefault="00601A75">
    <w:pPr>
      <w:pStyle w:val="Piedepgina"/>
      <w:rPr>
        <w:color w:val="333333"/>
        <w:sz w:val="20"/>
      </w:rPr>
    </w:pPr>
    <w:bookmarkStart w:id="2" w:name="Proyecto"/>
    <w:bookmarkEnd w:id="2"/>
  </w:p>
  <w:p w:rsidR="00601A75" w:rsidRPr="001C19C4" w:rsidRDefault="00601A75">
    <w:pPr>
      <w:pStyle w:val="Piedepgina"/>
      <w:rPr>
        <w:color w:val="333333"/>
        <w:sz w:val="20"/>
      </w:rPr>
    </w:pPr>
    <w:r w:rsidRPr="001C19C4">
      <w:rPr>
        <w:color w:val="333333"/>
        <w:sz w:val="20"/>
      </w:rPr>
      <w:t xml:space="preserve">Último cambio: </w:t>
    </w:r>
    <w:fldSimple w:instr=" SAVEDATE  \* MERGEFORMAT ">
      <w:r w:rsidR="005C1819" w:rsidRPr="005C1819">
        <w:rPr>
          <w:noProof/>
          <w:color w:val="333333"/>
          <w:sz w:val="20"/>
        </w:rPr>
        <w:t>21/04/2022 16:31:00</w:t>
      </w:r>
    </w:fldSimple>
    <w:r w:rsidRPr="001C19C4">
      <w:rPr>
        <w:color w:val="333333"/>
        <w:sz w:val="20"/>
      </w:rPr>
      <w:t xml:space="preserve">  -  Cantidad de caracteres: </w:t>
    </w:r>
    <w:fldSimple w:instr=" NUMCHARS  \* MERGEFORMAT ">
      <w:r w:rsidR="0008402C" w:rsidRPr="0008402C">
        <w:rPr>
          <w:noProof/>
          <w:color w:val="333333"/>
          <w:sz w:val="20"/>
        </w:rPr>
        <w:t>4982</w:t>
      </w:r>
    </w:fldSimple>
    <w:r w:rsidRPr="001C19C4">
      <w:rPr>
        <w:color w:val="333333"/>
        <w:sz w:val="20"/>
      </w:rPr>
      <w:t xml:space="preserve"> - Cantidad de palabras: </w:t>
    </w:r>
    <w:fldSimple w:instr=" NUMWORDS  \* MERGEFORMAT ">
      <w:r w:rsidR="0008402C" w:rsidRPr="0008402C">
        <w:rPr>
          <w:noProof/>
          <w:color w:val="333333"/>
          <w:sz w:val="20"/>
        </w:rPr>
        <w:t>925</w:t>
      </w:r>
    </w:fldSimple>
  </w:p>
  <w:p w:rsidR="00601A75" w:rsidRPr="001C19C4" w:rsidRDefault="00601A75" w:rsidP="00B05649">
    <w:pPr>
      <w:pStyle w:val="Piedepgina"/>
      <w:tabs>
        <w:tab w:val="left" w:pos="3565"/>
      </w:tabs>
      <w:rPr>
        <w:rStyle w:val="Nmerodepgina"/>
        <w:color w:val="333333"/>
      </w:rPr>
    </w:pPr>
    <w:r w:rsidRPr="001C19C4">
      <w:rPr>
        <w:color w:val="333333"/>
        <w:sz w:val="20"/>
      </w:rPr>
      <w:tab/>
      <w:t>Pág.</w:t>
    </w:r>
    <w:r w:rsidRPr="001C19C4">
      <w:rPr>
        <w:color w:val="333333"/>
      </w:rPr>
      <w:t xml:space="preserve"> </w:t>
    </w:r>
    <w:r w:rsidR="00FB5F46" w:rsidRPr="001C19C4">
      <w:rPr>
        <w:rStyle w:val="Nmerodepgina"/>
        <w:color w:val="333333"/>
      </w:rPr>
      <w:fldChar w:fldCharType="begin"/>
    </w:r>
    <w:r w:rsidRPr="001C19C4">
      <w:rPr>
        <w:rStyle w:val="Nmerodepgina"/>
        <w:color w:val="333333"/>
      </w:rPr>
      <w:instrText xml:space="preserve"> PAGE </w:instrText>
    </w:r>
    <w:r w:rsidR="00FB5F46" w:rsidRPr="001C19C4">
      <w:rPr>
        <w:rStyle w:val="Nmerodepgina"/>
        <w:color w:val="333333"/>
      </w:rPr>
      <w:fldChar w:fldCharType="separate"/>
    </w:r>
    <w:r w:rsidR="005C1819">
      <w:rPr>
        <w:rStyle w:val="Nmerodepgina"/>
        <w:noProof/>
        <w:color w:val="333333"/>
      </w:rPr>
      <w:t>4</w:t>
    </w:r>
    <w:r w:rsidR="00FB5F46" w:rsidRPr="001C19C4">
      <w:rPr>
        <w:rStyle w:val="Nmerodepgina"/>
        <w:color w:val="333333"/>
      </w:rPr>
      <w:fldChar w:fldCharType="end"/>
    </w:r>
    <w:r w:rsidRPr="001C19C4">
      <w:rPr>
        <w:rStyle w:val="Nmerodepgina"/>
        <w:color w:val="333333"/>
      </w:rPr>
      <w:t>/</w:t>
    </w:r>
    <w:fldSimple w:instr=" NUMPAGES  \* MERGEFORMAT ">
      <w:r w:rsidR="005C1819" w:rsidRPr="005C1819">
        <w:rPr>
          <w:rStyle w:val="Nmerodepgina"/>
          <w:noProof/>
          <w:color w:val="333333"/>
        </w:rPr>
        <w:t>4</w:t>
      </w:r>
    </w:fldSimple>
    <w:r w:rsidRPr="001C19C4">
      <w:rPr>
        <w:rStyle w:val="Nmerodepgina"/>
        <w:color w:val="333333"/>
      </w:rPr>
      <w:t xml:space="preserve"> </w:t>
    </w:r>
  </w:p>
  <w:p w:rsidR="00601A75" w:rsidRPr="001C19C4" w:rsidRDefault="00601A75">
    <w:pPr>
      <w:pStyle w:val="Piedepgina"/>
      <w:rPr>
        <w:color w:val="333333"/>
        <w:sz w:val="20"/>
      </w:rPr>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6158FD" w:rsidRDefault="006158FD">
      <w:r>
        <w:separator/>
      </w:r>
    </w:p>
  </w:footnote>
  <w:footnote w:type="continuationSeparator" w:id="1">
    <w:p w:rsidR="006158FD" w:rsidRDefault="006158FD">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3168A" w:rsidRDefault="00E5658D" w:rsidP="0033168A">
    <w:pPr>
      <w:pStyle w:val="Encabezado"/>
      <w:ind w:left="-2410" w:firstLine="850"/>
      <w:jc w:val="center"/>
      <w:rPr>
        <w:i/>
        <w:sz w:val="18"/>
        <w:szCs w:val="18"/>
      </w:rPr>
    </w:pPr>
    <w:r>
      <w:rPr>
        <w:noProof/>
        <w:lang w:val="es-AR" w:eastAsia="es-AR"/>
      </w:rPr>
      <w:drawing>
        <wp:inline distT="0" distB="0" distL="0" distR="0">
          <wp:extent cx="1885950" cy="342900"/>
          <wp:effectExtent l="19050" t="0" r="0" b="0"/>
          <wp:docPr id="1" name="0 Imagen" descr="logo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0 Imagen" descr="logo1.jpg"/>
                  <pic:cNvPicPr>
                    <a:picLocks noChangeAspect="1" noChangeArrowheads="1"/>
                  </pic:cNvPicPr>
                </pic:nvPicPr>
                <pic:blipFill>
                  <a:blip r:embed="rId1"/>
                  <a:srcRect/>
                  <a:stretch>
                    <a:fillRect/>
                  </a:stretch>
                </pic:blipFill>
                <pic:spPr bwMode="auto">
                  <a:xfrm>
                    <a:off x="0" y="0"/>
                    <a:ext cx="1885950" cy="342900"/>
                  </a:xfrm>
                  <a:prstGeom prst="rect">
                    <a:avLst/>
                  </a:prstGeom>
                  <a:noFill/>
                  <a:ln w="9525">
                    <a:noFill/>
                    <a:miter lim="800000"/>
                    <a:headEnd/>
                    <a:tailEnd/>
                  </a:ln>
                </pic:spPr>
              </pic:pic>
            </a:graphicData>
          </a:graphic>
        </wp:inline>
      </w:drawing>
    </w:r>
    <w:r w:rsidR="0033168A">
      <w:rPr>
        <w:i/>
        <w:sz w:val="18"/>
        <w:szCs w:val="18"/>
      </w:rPr>
      <w:br/>
    </w:r>
  </w:p>
  <w:p w:rsidR="00601A75" w:rsidRDefault="00601A75" w:rsidP="0033168A">
    <w:pPr>
      <w:pStyle w:val="Encabezado"/>
      <w:jc w:val="center"/>
      <w:rPr>
        <w:i/>
        <w:color w:val="000000"/>
        <w:shd w:val="clear" w:color="auto" w:fill="FFFFFF"/>
      </w:rPr>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hdrShapeDefaults>
    <o:shapedefaults v:ext="edit" spidmax="12290"/>
  </w:hdrShapeDefaults>
  <w:footnotePr>
    <w:footnote w:id="0"/>
    <w:footnote w:id="1"/>
  </w:footnotePr>
  <w:endnotePr>
    <w:endnote w:id="0"/>
    <w:endnote w:id="1"/>
  </w:endnotePr>
  <w:compat/>
  <w:rsids>
    <w:rsidRoot w:val="00381AAB"/>
    <w:rsid w:val="00026430"/>
    <w:rsid w:val="00030DF5"/>
    <w:rsid w:val="0003615C"/>
    <w:rsid w:val="000376AB"/>
    <w:rsid w:val="00043882"/>
    <w:rsid w:val="00062864"/>
    <w:rsid w:val="00067370"/>
    <w:rsid w:val="000713D7"/>
    <w:rsid w:val="00071CFB"/>
    <w:rsid w:val="00077DAC"/>
    <w:rsid w:val="00080837"/>
    <w:rsid w:val="00081FFF"/>
    <w:rsid w:val="0008402C"/>
    <w:rsid w:val="00085D07"/>
    <w:rsid w:val="000B2290"/>
    <w:rsid w:val="000D1497"/>
    <w:rsid w:val="000D2860"/>
    <w:rsid w:val="000D6C54"/>
    <w:rsid w:val="000E3949"/>
    <w:rsid w:val="000F74CB"/>
    <w:rsid w:val="000F7E30"/>
    <w:rsid w:val="00103C6B"/>
    <w:rsid w:val="00104335"/>
    <w:rsid w:val="00127D10"/>
    <w:rsid w:val="00136787"/>
    <w:rsid w:val="00145948"/>
    <w:rsid w:val="00155C7C"/>
    <w:rsid w:val="00160A2A"/>
    <w:rsid w:val="001614A7"/>
    <w:rsid w:val="0019414B"/>
    <w:rsid w:val="001B770D"/>
    <w:rsid w:val="001C18CC"/>
    <w:rsid w:val="001C19C4"/>
    <w:rsid w:val="001D480C"/>
    <w:rsid w:val="001E0E01"/>
    <w:rsid w:val="001E5394"/>
    <w:rsid w:val="001F2924"/>
    <w:rsid w:val="001F3AFD"/>
    <w:rsid w:val="00205802"/>
    <w:rsid w:val="00205DAD"/>
    <w:rsid w:val="00223436"/>
    <w:rsid w:val="002327DE"/>
    <w:rsid w:val="00246DF0"/>
    <w:rsid w:val="0026220D"/>
    <w:rsid w:val="00265972"/>
    <w:rsid w:val="00275865"/>
    <w:rsid w:val="00276A7E"/>
    <w:rsid w:val="00296815"/>
    <w:rsid w:val="002971A4"/>
    <w:rsid w:val="002B47D0"/>
    <w:rsid w:val="002C768C"/>
    <w:rsid w:val="002D05E9"/>
    <w:rsid w:val="002D533A"/>
    <w:rsid w:val="002D778C"/>
    <w:rsid w:val="002E38C3"/>
    <w:rsid w:val="002F7961"/>
    <w:rsid w:val="00302300"/>
    <w:rsid w:val="00305DD1"/>
    <w:rsid w:val="003145ED"/>
    <w:rsid w:val="00315C77"/>
    <w:rsid w:val="0033168A"/>
    <w:rsid w:val="00335CD9"/>
    <w:rsid w:val="00340F54"/>
    <w:rsid w:val="0035681D"/>
    <w:rsid w:val="00361201"/>
    <w:rsid w:val="00381AAB"/>
    <w:rsid w:val="00395843"/>
    <w:rsid w:val="003A7311"/>
    <w:rsid w:val="003B471C"/>
    <w:rsid w:val="003D10AB"/>
    <w:rsid w:val="003D4000"/>
    <w:rsid w:val="003F1EFD"/>
    <w:rsid w:val="003F4249"/>
    <w:rsid w:val="00401C75"/>
    <w:rsid w:val="0040761B"/>
    <w:rsid w:val="00422C3F"/>
    <w:rsid w:val="004354AC"/>
    <w:rsid w:val="00446E1A"/>
    <w:rsid w:val="004847CA"/>
    <w:rsid w:val="004B7714"/>
    <w:rsid w:val="004C4B76"/>
    <w:rsid w:val="004D2D62"/>
    <w:rsid w:val="004D30D5"/>
    <w:rsid w:val="004D438B"/>
    <w:rsid w:val="004E235F"/>
    <w:rsid w:val="0051012E"/>
    <w:rsid w:val="005142E6"/>
    <w:rsid w:val="00522C71"/>
    <w:rsid w:val="005241CE"/>
    <w:rsid w:val="00534552"/>
    <w:rsid w:val="00540D49"/>
    <w:rsid w:val="00540E5C"/>
    <w:rsid w:val="00550A79"/>
    <w:rsid w:val="00551DE0"/>
    <w:rsid w:val="0057409D"/>
    <w:rsid w:val="005769D4"/>
    <w:rsid w:val="00584777"/>
    <w:rsid w:val="00587242"/>
    <w:rsid w:val="005A1232"/>
    <w:rsid w:val="005A32ED"/>
    <w:rsid w:val="005A3AA1"/>
    <w:rsid w:val="005A3DA3"/>
    <w:rsid w:val="005A4D27"/>
    <w:rsid w:val="005B0FAF"/>
    <w:rsid w:val="005B14CE"/>
    <w:rsid w:val="005B6538"/>
    <w:rsid w:val="005C1819"/>
    <w:rsid w:val="005C37AB"/>
    <w:rsid w:val="005E3C49"/>
    <w:rsid w:val="005F35E2"/>
    <w:rsid w:val="00601A75"/>
    <w:rsid w:val="006158FD"/>
    <w:rsid w:val="00616F70"/>
    <w:rsid w:val="00622DE5"/>
    <w:rsid w:val="00636BE0"/>
    <w:rsid w:val="0064363E"/>
    <w:rsid w:val="006811D6"/>
    <w:rsid w:val="00690392"/>
    <w:rsid w:val="00697F98"/>
    <w:rsid w:val="006C326A"/>
    <w:rsid w:val="006C40E9"/>
    <w:rsid w:val="006D3303"/>
    <w:rsid w:val="006D5CB7"/>
    <w:rsid w:val="006E3675"/>
    <w:rsid w:val="00706B8E"/>
    <w:rsid w:val="00715AF3"/>
    <w:rsid w:val="00720C1E"/>
    <w:rsid w:val="00734F30"/>
    <w:rsid w:val="007410E7"/>
    <w:rsid w:val="007420D8"/>
    <w:rsid w:val="00771B54"/>
    <w:rsid w:val="007728C1"/>
    <w:rsid w:val="00777916"/>
    <w:rsid w:val="00780167"/>
    <w:rsid w:val="00795E19"/>
    <w:rsid w:val="007B0FD7"/>
    <w:rsid w:val="007B3715"/>
    <w:rsid w:val="007B6DE7"/>
    <w:rsid w:val="007C0373"/>
    <w:rsid w:val="007C0CF9"/>
    <w:rsid w:val="007D2459"/>
    <w:rsid w:val="007E2AB2"/>
    <w:rsid w:val="007E3534"/>
    <w:rsid w:val="007E36D1"/>
    <w:rsid w:val="008019FD"/>
    <w:rsid w:val="008034F8"/>
    <w:rsid w:val="00812683"/>
    <w:rsid w:val="00820A3A"/>
    <w:rsid w:val="00827228"/>
    <w:rsid w:val="008433E2"/>
    <w:rsid w:val="00846702"/>
    <w:rsid w:val="008553EB"/>
    <w:rsid w:val="0086333F"/>
    <w:rsid w:val="00870A2D"/>
    <w:rsid w:val="008844BF"/>
    <w:rsid w:val="0088546A"/>
    <w:rsid w:val="00890C59"/>
    <w:rsid w:val="00890E2F"/>
    <w:rsid w:val="008938E5"/>
    <w:rsid w:val="008B4536"/>
    <w:rsid w:val="008C4AC3"/>
    <w:rsid w:val="00906685"/>
    <w:rsid w:val="00910E0F"/>
    <w:rsid w:val="0091690E"/>
    <w:rsid w:val="00947238"/>
    <w:rsid w:val="009624FC"/>
    <w:rsid w:val="0096461D"/>
    <w:rsid w:val="009953AF"/>
    <w:rsid w:val="00996E34"/>
    <w:rsid w:val="009A6E2B"/>
    <w:rsid w:val="009B4FAC"/>
    <w:rsid w:val="009C20D3"/>
    <w:rsid w:val="009E5835"/>
    <w:rsid w:val="009F4E01"/>
    <w:rsid w:val="00A06A2B"/>
    <w:rsid w:val="00A07090"/>
    <w:rsid w:val="00A11AD7"/>
    <w:rsid w:val="00A1286B"/>
    <w:rsid w:val="00A240CA"/>
    <w:rsid w:val="00A37C1D"/>
    <w:rsid w:val="00A40D86"/>
    <w:rsid w:val="00A43208"/>
    <w:rsid w:val="00A47920"/>
    <w:rsid w:val="00A502EF"/>
    <w:rsid w:val="00A55E61"/>
    <w:rsid w:val="00A66804"/>
    <w:rsid w:val="00A75EED"/>
    <w:rsid w:val="00A7779B"/>
    <w:rsid w:val="00A878E2"/>
    <w:rsid w:val="00A962A7"/>
    <w:rsid w:val="00AA08DB"/>
    <w:rsid w:val="00AA2FEA"/>
    <w:rsid w:val="00AA7C22"/>
    <w:rsid w:val="00AB0A73"/>
    <w:rsid w:val="00AB5EB2"/>
    <w:rsid w:val="00AC3839"/>
    <w:rsid w:val="00AE2E8F"/>
    <w:rsid w:val="00AF5760"/>
    <w:rsid w:val="00AF6352"/>
    <w:rsid w:val="00B05649"/>
    <w:rsid w:val="00B1723C"/>
    <w:rsid w:val="00B177FE"/>
    <w:rsid w:val="00B264C1"/>
    <w:rsid w:val="00B31B65"/>
    <w:rsid w:val="00B36178"/>
    <w:rsid w:val="00B4532F"/>
    <w:rsid w:val="00B46232"/>
    <w:rsid w:val="00B85EE2"/>
    <w:rsid w:val="00BF2B7B"/>
    <w:rsid w:val="00BF71C2"/>
    <w:rsid w:val="00C26F53"/>
    <w:rsid w:val="00C330CB"/>
    <w:rsid w:val="00C3675D"/>
    <w:rsid w:val="00C419C1"/>
    <w:rsid w:val="00C51E49"/>
    <w:rsid w:val="00C521F9"/>
    <w:rsid w:val="00C63351"/>
    <w:rsid w:val="00C71253"/>
    <w:rsid w:val="00C734F9"/>
    <w:rsid w:val="00C87365"/>
    <w:rsid w:val="00C93FF6"/>
    <w:rsid w:val="00CC20B0"/>
    <w:rsid w:val="00CE163F"/>
    <w:rsid w:val="00D21279"/>
    <w:rsid w:val="00D43AA2"/>
    <w:rsid w:val="00D518DB"/>
    <w:rsid w:val="00D55ECB"/>
    <w:rsid w:val="00D67721"/>
    <w:rsid w:val="00D758CE"/>
    <w:rsid w:val="00D76A86"/>
    <w:rsid w:val="00D927D4"/>
    <w:rsid w:val="00D9419D"/>
    <w:rsid w:val="00DD2795"/>
    <w:rsid w:val="00DD4DE2"/>
    <w:rsid w:val="00DD520D"/>
    <w:rsid w:val="00DF0164"/>
    <w:rsid w:val="00DF14A9"/>
    <w:rsid w:val="00DF54AA"/>
    <w:rsid w:val="00E07D33"/>
    <w:rsid w:val="00E12909"/>
    <w:rsid w:val="00E12DDE"/>
    <w:rsid w:val="00E143B6"/>
    <w:rsid w:val="00E30CFF"/>
    <w:rsid w:val="00E55186"/>
    <w:rsid w:val="00E5658D"/>
    <w:rsid w:val="00E615F1"/>
    <w:rsid w:val="00E63146"/>
    <w:rsid w:val="00E64A1D"/>
    <w:rsid w:val="00E74920"/>
    <w:rsid w:val="00E81EE5"/>
    <w:rsid w:val="00E91F21"/>
    <w:rsid w:val="00EB6956"/>
    <w:rsid w:val="00EE6672"/>
    <w:rsid w:val="00EF0D22"/>
    <w:rsid w:val="00F13C69"/>
    <w:rsid w:val="00F41DF6"/>
    <w:rsid w:val="00F52245"/>
    <w:rsid w:val="00F5569F"/>
    <w:rsid w:val="00F60308"/>
    <w:rsid w:val="00F640D0"/>
    <w:rsid w:val="00F75389"/>
    <w:rsid w:val="00F903E8"/>
    <w:rsid w:val="00FA0C8C"/>
    <w:rsid w:val="00FB4F49"/>
    <w:rsid w:val="00FB5F46"/>
    <w:rsid w:val="00FD07F5"/>
  </w:rsids>
  <m:mathPr>
    <m:mathFont m:val="Cambria Math"/>
    <m:brkBin m:val="before"/>
    <m:brkBinSub m:val="--"/>
    <m:smallFrac m:val="off"/>
    <m:dispDef/>
    <m:lMargin m:val="0"/>
    <m:rMargin m:val="0"/>
    <m:defJc m:val="centerGroup"/>
    <m:wrapIndent m:val="1440"/>
    <m:intLim m:val="subSup"/>
    <m:naryLim m:val="undOvr"/>
  </m:mathPr>
  <w:themeFontLang w:val="es-AR"/>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229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s-AR" w:eastAsia="es-AR"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08402C"/>
    <w:pPr>
      <w:jc w:val="both"/>
    </w:pPr>
    <w:rPr>
      <w:sz w:val="24"/>
      <w:szCs w:val="24"/>
      <w:lang w:val="es-ES_tradnl" w:eastAsia="es-ES"/>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customStyle="1" w:styleId="redaccin">
    <w:name w:val="redacción"/>
    <w:basedOn w:val="Normal"/>
    <w:next w:val="Normal"/>
    <w:rsid w:val="00395843"/>
    <w:pPr>
      <w:ind w:left="3686"/>
    </w:pPr>
    <w:rPr>
      <w:szCs w:val="20"/>
    </w:rPr>
  </w:style>
  <w:style w:type="paragraph" w:styleId="Encabezado">
    <w:name w:val="header"/>
    <w:basedOn w:val="Normal"/>
    <w:link w:val="EncabezadoCar"/>
    <w:uiPriority w:val="99"/>
    <w:rsid w:val="00395843"/>
    <w:pPr>
      <w:tabs>
        <w:tab w:val="center" w:pos="4419"/>
        <w:tab w:val="right" w:pos="8838"/>
      </w:tabs>
    </w:pPr>
    <w:rPr>
      <w:szCs w:val="20"/>
    </w:rPr>
  </w:style>
  <w:style w:type="paragraph" w:styleId="Piedepgina">
    <w:name w:val="footer"/>
    <w:basedOn w:val="Normal"/>
    <w:rsid w:val="00395843"/>
    <w:pPr>
      <w:tabs>
        <w:tab w:val="center" w:pos="4419"/>
        <w:tab w:val="right" w:pos="8838"/>
      </w:tabs>
    </w:pPr>
    <w:rPr>
      <w:szCs w:val="20"/>
    </w:rPr>
  </w:style>
  <w:style w:type="character" w:styleId="Nmerodepgina">
    <w:name w:val="page number"/>
    <w:basedOn w:val="Fuentedeprrafopredeter"/>
    <w:rsid w:val="00395843"/>
  </w:style>
  <w:style w:type="character" w:customStyle="1" w:styleId="EncabezadoCar">
    <w:name w:val="Encabezado Car"/>
    <w:basedOn w:val="Fuentedeprrafopredeter"/>
    <w:link w:val="Encabezado"/>
    <w:uiPriority w:val="99"/>
    <w:rsid w:val="0033168A"/>
    <w:rPr>
      <w:sz w:val="24"/>
      <w:lang w:val="es-ES_tradnl"/>
    </w:rPr>
  </w:style>
  <w:style w:type="paragraph" w:styleId="Textodeglobo">
    <w:name w:val="Balloon Text"/>
    <w:basedOn w:val="Normal"/>
    <w:link w:val="TextodegloboCar"/>
    <w:uiPriority w:val="99"/>
    <w:semiHidden/>
    <w:unhideWhenUsed/>
    <w:rsid w:val="005241CE"/>
    <w:rPr>
      <w:rFonts w:ascii="Tahoma" w:hAnsi="Tahoma" w:cs="Tahoma"/>
      <w:sz w:val="16"/>
      <w:szCs w:val="16"/>
    </w:rPr>
  </w:style>
  <w:style w:type="character" w:customStyle="1" w:styleId="TextodegloboCar">
    <w:name w:val="Texto de globo Car"/>
    <w:basedOn w:val="Fuentedeprrafopredeter"/>
    <w:link w:val="Textodeglobo"/>
    <w:uiPriority w:val="99"/>
    <w:semiHidden/>
    <w:rsid w:val="005241CE"/>
    <w:rPr>
      <w:rFonts w:ascii="Tahoma" w:hAnsi="Tahoma" w:cs="Tahoma"/>
      <w:sz w:val="16"/>
      <w:szCs w:val="16"/>
      <w:lang w:val="es-ES_tradnl" w:eastAsia="es-ES"/>
    </w:rPr>
  </w:style>
</w:styles>
</file>

<file path=word/webSettings.xml><?xml version="1.0" encoding="utf-8"?>
<w:webSettings xmlns:r="http://schemas.openxmlformats.org/officeDocument/2006/relationships" xmlns:w="http://schemas.openxmlformats.org/wordprocessingml/2006/main">
  <w:divs>
    <w:div w:id="84883737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anfigueredo\Desktop\ib2awgx1el_1587595525.1739.dotx" TargetMode="Externa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DA6B6B39-A720-45B3-909E-45168867CDD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ib2awgx1el_1587595525.1739</Template>
  <TotalTime>0</TotalTime>
  <Pages>4</Pages>
  <Words>913</Words>
  <Characters>5024</Characters>
  <Application>Microsoft Office Word</Application>
  <DocSecurity>0</DocSecurity>
  <Lines>41</Lines>
  <Paragraphs>11</Paragraphs>
  <ScaleCrop>false</ScaleCrop>
  <HeadingPairs>
    <vt:vector size="2" baseType="variant">
      <vt:variant>
        <vt:lpstr>Título</vt:lpstr>
      </vt:variant>
      <vt:variant>
        <vt:i4>1</vt:i4>
      </vt:variant>
    </vt:vector>
  </HeadingPairs>
  <TitlesOfParts>
    <vt:vector size="1" baseType="lpstr">
      <vt:lpstr>Nuevo Proyecto</vt:lpstr>
    </vt:vector>
  </TitlesOfParts>
  <Company>Bangho</Company>
  <LinksUpToDate>false</LinksUpToDate>
  <CharactersWithSpaces>5926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char-word count</dc:title>
  <dc:creator>anfigueredo</dc:creator>
  <cp:lastModifiedBy>pasantapaola</cp:lastModifiedBy>
  <cp:revision>2</cp:revision>
  <cp:lastPrinted>2020-02-28T17:24:00Z</cp:lastPrinted>
  <dcterms:created xsi:type="dcterms:W3CDTF">2022-04-21T20:00:00Z</dcterms:created>
  <dcterms:modified xsi:type="dcterms:W3CDTF">2022-04-21T20:00:00Z</dcterms:modified>
</cp:coreProperties>
</file>