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>Legislatura de la Ciudad Autónoma de Buenos Aires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 xml:space="preserve">Visto: 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ab/>
        <w:t>Que el expediente N° 766-D-2022 de autoría de la diputada Cecilia Segura Rattagán por  el  cual solicita informes referidos a la Ley N° 1.153; y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>Considerando: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pStyle w:val="NormalWeb"/>
        <w:spacing w:before="0" w:beforeAutospacing="0" w:after="0" w:afterAutospacing="0"/>
        <w:ind w:firstLine="708"/>
        <w:jc w:val="both"/>
      </w:pPr>
      <w:r w:rsidRPr="009418EF">
        <w:rPr>
          <w:lang w:val="es-MX"/>
        </w:rPr>
        <w:t>Que</w:t>
      </w:r>
      <w:r w:rsidRPr="009418EF">
        <w:t xml:space="preserve"> el Parque Avellaneda es un área de especial configuración y complejidad; cuenta con espacio verde y público, patrimonio natural y cultural con edificios significativos y sectores con distintas funciones a cargo de diversas áreas del Gobierno de la Ciudad, siendo necesario para su preservación y desarrollo un tratamiento unificado e integral por parte de dichas áreas.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20"/>
        <w:rPr>
          <w:szCs w:val="24"/>
          <w:lang w:val="es-AR" w:eastAsia="es-AR"/>
        </w:rPr>
      </w:pPr>
      <w:r w:rsidRPr="009418EF">
        <w:rPr>
          <w:lang w:val="es-MX"/>
        </w:rPr>
        <w:t xml:space="preserve">Que </w:t>
      </w:r>
      <w:r w:rsidRPr="009418EF">
        <w:rPr>
          <w:szCs w:val="24"/>
          <w:lang w:val="es-AR" w:eastAsia="es-AR"/>
        </w:rPr>
        <w:t>luego de diferentes procesos de transformación y de recuperación del parque por parte de los vecinos/as, se sanciona en el año 2003 la Ley N° 1.153 que establece que el mismo es una “(...) Unidad Ambiental y de Gestión (...) conformada por un patrimonio natural, cultural y social que incluye los ámbitos físicos integrados por el espacio verde, el antiguo natatorio, la Casona de los Olivera, el Polideportivo, el Tambo, el Frigorífico, la Cremería y la Casa de la Reconquista, y se reconoce la organización social e institucional que se viene desarrollando en forma continua en dicho espacio, mediante prácticas consolidadas de gestión asociada que promocionan la participación ciudadana corresponsable en la planificación y el manejo del espacio público”.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08"/>
        <w:rPr>
          <w:szCs w:val="24"/>
          <w:lang w:val="es-AR" w:eastAsia="es-AR"/>
        </w:rPr>
      </w:pPr>
      <w:r w:rsidRPr="009418EF">
        <w:rPr>
          <w:lang w:val="es-MX"/>
        </w:rPr>
        <w:t>Que</w:t>
      </w:r>
      <w:r w:rsidRPr="009418EF">
        <w:rPr>
          <w:szCs w:val="24"/>
          <w:lang w:val="es-AR" w:eastAsia="es-AR"/>
        </w:rPr>
        <w:t xml:space="preserve"> tal como lo establece la ley, la gestión asociada del Parque se da entre el Gobierno de la Ciudad de Buenos Aires (GCBA) y los vecinos/as en el marco de “La Mesa de Trabajo y Consenso del Parque Avellaneda (MTC)”, que es la “(...) instancia de participación abierta y pública y ad honorem, para la planificación-gestión, monitoreo y orientación del Plan de Manejo”. En este sentido, la Mesa está integrada por “(...) el administrador, representantes de las Secretarías de Medio Ambiente y Planeamiento Urbano y de Cultura, de la futura Comuna con jurisdicción en el territorio en el que se emplaza el parque y las demás áreas gubernamentales con incumbencia en las temáticas incluidas en el Plan de Manejo, y las personas, grupos y organizaciones que sean necesarias y/o expresen un interés público en la gestión del parque”.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08"/>
        <w:rPr>
          <w:szCs w:val="24"/>
          <w:lang w:val="es-AR" w:eastAsia="es-AR"/>
        </w:rPr>
      </w:pPr>
      <w:r w:rsidRPr="009418EF">
        <w:rPr>
          <w:lang w:val="es-MX"/>
        </w:rPr>
        <w:t>Que</w:t>
      </w:r>
      <w:r w:rsidRPr="009418EF">
        <w:rPr>
          <w:szCs w:val="24"/>
          <w:lang w:val="es-AR" w:eastAsia="es-AR"/>
        </w:rPr>
        <w:t xml:space="preserve"> la dificultad de identificar el área de gobierno responsable de cada sector del Parque Avellaneda es un inconveniente para la MTC frente a la necesidad de resolver las diferentes problemáticas e inquietudes que se presentan para los distintos sectores. 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08"/>
        <w:rPr>
          <w:szCs w:val="24"/>
          <w:lang w:val="es-AR" w:eastAsia="es-AR"/>
        </w:rPr>
      </w:pPr>
      <w:r w:rsidRPr="009418EF">
        <w:rPr>
          <w:lang w:val="es-MX"/>
        </w:rPr>
        <w:t>Que</w:t>
      </w:r>
      <w:r w:rsidRPr="009418EF">
        <w:rPr>
          <w:szCs w:val="24"/>
          <w:lang w:val="es-AR" w:eastAsia="es-AR"/>
        </w:rPr>
        <w:t xml:space="preserve"> la Ley 1153 en su artículo Artículo 2° dispone la ratificación “del Plan de Manejo del Parque Avellaneda (...) como el instrumento ordenador del área”, asimismo su artículo 9° prevé que “Los recursos que garantizan el Plan de Manejo son económicos, físicos y humanos” y que estos son: “Los recursos económicos (...) provenientes del presupuesto anual de gastos de la Ciudad y de la futura comuna”, “Los recursos físicos consistirán en la dotación de los muebles, útiles, herramientas y demás instrumentos necesarios para el normal funcionamiento del Parque” y “Los recursos humanos consisten en la dotación del personal necesario que cada área involucrada deberá garantizar para el funcionamiento del Parque”. Por su parte, el artículo 10° establece que, “Anualmente, la MTC tratará un plan operativo y su respectivo presupuesto para el siguiente ejercicio con intervención de las áreas gubernamentales involucradas que comprometerán en dicho ámbito los recursos económicos, físicos y humanos a asignar al Plan de Manejo”. La propia ley asigna para la gestión y administración de Parque un presupuesto que debe ser empleado por el GCBA, a través de las diferentes áreas, para garantizar el cumplimiento de sus disposiciones. 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08"/>
        <w:rPr>
          <w:szCs w:val="24"/>
          <w:lang w:val="es-AR" w:eastAsia="es-AR"/>
        </w:rPr>
      </w:pPr>
      <w:r w:rsidRPr="009418EF">
        <w:rPr>
          <w:lang w:val="es-MX"/>
        </w:rPr>
        <w:t>Que</w:t>
      </w:r>
      <w:r w:rsidRPr="009418EF">
        <w:rPr>
          <w:szCs w:val="24"/>
          <w:lang w:val="es-AR" w:eastAsia="es-AR"/>
        </w:rPr>
        <w:t xml:space="preserve"> el Parque Avellaneda, como cualquier espacio público verde de calidad al que aspiramos, proporciona diversos servicios ambientales y sociales que deben poder disfrutar </w:t>
      </w:r>
      <w:r w:rsidRPr="009418EF">
        <w:rPr>
          <w:szCs w:val="24"/>
          <w:lang w:val="es-AR" w:eastAsia="es-AR"/>
        </w:rPr>
        <w:lastRenderedPageBreak/>
        <w:t>todos/as los/as porteños/as. Por eso para la MTC es importante conocer las áreas responsables y saber a quién recurrir frente a las diversas problemáticas con las que se enfrente en el marco de la gestión asociada del Parque. </w:t>
      </w:r>
    </w:p>
    <w:p w:rsidR="00897736" w:rsidRPr="009418EF" w:rsidRDefault="00897736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ind w:firstLine="720"/>
        <w:rPr>
          <w:szCs w:val="24"/>
          <w:lang w:val="es-AR" w:eastAsia="es-AR"/>
        </w:rPr>
      </w:pPr>
      <w:r w:rsidRPr="009418EF">
        <w:rPr>
          <w:lang w:val="es-MX"/>
        </w:rPr>
        <w:t>Que</w:t>
      </w:r>
      <w:r w:rsidRPr="009418EF">
        <w:rPr>
          <w:szCs w:val="24"/>
          <w:lang w:val="es-AR" w:eastAsia="es-AR"/>
        </w:rPr>
        <w:t xml:space="preserve"> por este motivo, presentamos el presente pedido de informes, a los fines de esclarecer qué áreas de gobierno están a cargo de la gesti</w:t>
      </w:r>
      <w:r w:rsidR="00DA74B3" w:rsidRPr="009418EF">
        <w:rPr>
          <w:szCs w:val="24"/>
          <w:lang w:val="es-AR" w:eastAsia="es-AR"/>
        </w:rPr>
        <w:t>ón de los sectores del Parque, esta</w:t>
      </w:r>
      <w:r w:rsidRPr="009418EF">
        <w:rPr>
          <w:szCs w:val="24"/>
          <w:lang w:val="es-AR" w:eastAsia="es-AR"/>
        </w:rPr>
        <w:t xml:space="preserve"> información ayudará a los/as vecinos/as, trabajadores y administrador de la MTC a solucionar las problemáticas existentes del Parque con la mayor celeridad posible, permitiendo el disfrute del mismo para todos/as los/as porteños/as. </w:t>
      </w:r>
    </w:p>
    <w:p w:rsidR="00E226EF" w:rsidRPr="009418EF" w:rsidRDefault="00E226EF" w:rsidP="009418EF">
      <w:pPr>
        <w:ind w:firstLine="720"/>
        <w:rPr>
          <w:szCs w:val="24"/>
          <w:lang w:val="es-AR" w:eastAsia="es-AR"/>
        </w:rPr>
      </w:pPr>
    </w:p>
    <w:p w:rsidR="00897736" w:rsidRPr="009418EF" w:rsidRDefault="00897736" w:rsidP="009418EF">
      <w:pPr>
        <w:rPr>
          <w:lang w:val="es-AR"/>
        </w:rPr>
      </w:pP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ab/>
        <w:t>Por lo expuesto, esta Comisión de</w:t>
      </w:r>
      <w:r w:rsidR="00E226EF" w:rsidRPr="009418EF">
        <w:rPr>
          <w:lang w:val="es-MX"/>
        </w:rPr>
        <w:t xml:space="preserve"> Protección y Uso del Espacio Público </w:t>
      </w:r>
      <w:r w:rsidRPr="009418EF">
        <w:rPr>
          <w:lang w:val="es-MX"/>
        </w:rPr>
        <w:t>aconseja la aprobación de la siguiente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jc w:val="center"/>
        <w:rPr>
          <w:b/>
          <w:lang w:val="es-MX"/>
        </w:rPr>
      </w:pPr>
      <w:bookmarkStart w:id="0" w:name="DResolución"/>
      <w:bookmarkEnd w:id="0"/>
      <w:r w:rsidRPr="009418EF">
        <w:rPr>
          <w:b/>
          <w:lang w:val="es-MX"/>
        </w:rPr>
        <w:t>RESOLUCIÓN</w:t>
      </w:r>
    </w:p>
    <w:p w:rsidR="00897736" w:rsidRPr="009418EF" w:rsidRDefault="00897736" w:rsidP="009418EF">
      <w:pPr>
        <w:rPr>
          <w:lang w:val="es-MX"/>
        </w:rPr>
      </w:pPr>
    </w:p>
    <w:p w:rsidR="00E226EF" w:rsidRPr="009418EF" w:rsidRDefault="00E226EF" w:rsidP="009418EF">
      <w:pPr>
        <w:jc w:val="left"/>
        <w:rPr>
          <w:szCs w:val="24"/>
          <w:lang w:val="es-AR" w:eastAsia="es-AR"/>
        </w:rPr>
      </w:pPr>
    </w:p>
    <w:p w:rsidR="00E226EF" w:rsidRPr="009418EF" w:rsidRDefault="00E226EF" w:rsidP="009418EF">
      <w:pPr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Artículo 1°.- El Poder Ejecutivo informará, a través de los organismos correspondientes, dentro del plazo de treinta (30) días de recibida la presente, acerca de los siguientes puntos referidos a la Ley 1153 “Parque Avellaneda” de la Ciudad de Buenos Aires:</w:t>
      </w:r>
    </w:p>
    <w:p w:rsidR="00E226EF" w:rsidRPr="009418EF" w:rsidRDefault="00E226EF" w:rsidP="009418EF">
      <w:pPr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br/>
        <w:t>1) Sobre el Parque Avellaneda:</w:t>
      </w:r>
    </w:p>
    <w:p w:rsidR="00E226EF" w:rsidRPr="009418EF" w:rsidRDefault="00E226EF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a. Indique la posición geolocalizada de cada sector que conforma la Unidad Ambiental y de Gestión del Parque Avellaneda conforme el artículo 1° de la Ley 1.153. Detalle a su vez, posición geolocalizada de las edificaciones con las que cuenta cada sector. </w:t>
      </w:r>
    </w:p>
    <w:p w:rsidR="00E226EF" w:rsidRPr="009418EF" w:rsidRDefault="00E226EF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b. Respecto de los sectores del Parque Avellaneda enumerados en el art. 1 de la ley 1.153 y que asimismo se detallan a continuación, indique por cada uno cuál es el área de Gobierno responsable: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I.   </w:t>
      </w:r>
      <w:r w:rsidR="00E226EF" w:rsidRPr="009418EF">
        <w:rPr>
          <w:szCs w:val="24"/>
          <w:lang w:val="es-AR" w:eastAsia="es-AR"/>
        </w:rPr>
        <w:t>Espacio verde en general. 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II.  </w:t>
      </w:r>
      <w:r w:rsidR="00E226EF" w:rsidRPr="009418EF">
        <w:rPr>
          <w:szCs w:val="24"/>
          <w:lang w:val="es-AR" w:eastAsia="es-AR"/>
        </w:rPr>
        <w:t>El Antiguo Natatorio (Escuela EEM 2° DE 13° – Ernesto Che Guevara). 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III. </w:t>
      </w:r>
      <w:r w:rsidR="00E226EF" w:rsidRPr="009418EF">
        <w:rPr>
          <w:szCs w:val="24"/>
          <w:lang w:val="es-AR" w:eastAsia="es-AR"/>
        </w:rPr>
        <w:t>La Casona de los Olivera - Biblioteca.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IV. </w:t>
      </w:r>
      <w:r w:rsidR="00E226EF" w:rsidRPr="009418EF">
        <w:rPr>
          <w:szCs w:val="24"/>
          <w:lang w:val="es-AR" w:eastAsia="es-AR"/>
        </w:rPr>
        <w:t>El Polideportivo.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V.  </w:t>
      </w:r>
      <w:r w:rsidR="00E226EF" w:rsidRPr="009418EF">
        <w:rPr>
          <w:szCs w:val="24"/>
          <w:lang w:val="es-AR" w:eastAsia="es-AR"/>
        </w:rPr>
        <w:t>El Tambo. 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VI . </w:t>
      </w:r>
      <w:r w:rsidR="00E226EF" w:rsidRPr="009418EF">
        <w:rPr>
          <w:szCs w:val="24"/>
          <w:lang w:val="es-AR" w:eastAsia="es-AR"/>
        </w:rPr>
        <w:t>El Frigorífico. </w:t>
      </w:r>
    </w:p>
    <w:p w:rsidR="006B520E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VII. </w:t>
      </w:r>
      <w:r w:rsidR="00E226EF" w:rsidRPr="009418EF">
        <w:rPr>
          <w:szCs w:val="24"/>
          <w:lang w:val="es-AR" w:eastAsia="es-AR"/>
        </w:rPr>
        <w:t>La Cremería.</w:t>
      </w:r>
    </w:p>
    <w:p w:rsidR="00E226EF" w:rsidRPr="009418EF" w:rsidRDefault="006B520E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 xml:space="preserve">VII. </w:t>
      </w:r>
      <w:r w:rsidR="00E226EF" w:rsidRPr="009418EF">
        <w:rPr>
          <w:szCs w:val="24"/>
          <w:lang w:val="es-AR" w:eastAsia="es-AR"/>
        </w:rPr>
        <w:t>La Casa de la Reconquista.</w:t>
      </w:r>
    </w:p>
    <w:p w:rsidR="00E226EF" w:rsidRPr="009418EF" w:rsidRDefault="00E226EF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c. Indique si existe un área del Gobierno de la CABA a cargo de la Huerta del Parque Avellaneda. </w:t>
      </w:r>
    </w:p>
    <w:p w:rsidR="00E226EF" w:rsidRPr="009418EF" w:rsidRDefault="00E226EF" w:rsidP="009418EF">
      <w:pPr>
        <w:jc w:val="left"/>
        <w:rPr>
          <w:szCs w:val="24"/>
          <w:lang w:val="es-AR" w:eastAsia="es-AR"/>
        </w:rPr>
      </w:pPr>
    </w:p>
    <w:p w:rsidR="00E226EF" w:rsidRPr="009418EF" w:rsidRDefault="00E226EF" w:rsidP="009418EF">
      <w:pPr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2) Respecto al “Expreso Alegría” del Parque Avellaneda:</w:t>
      </w:r>
    </w:p>
    <w:p w:rsidR="00E226EF" w:rsidRPr="009418EF" w:rsidRDefault="00E226EF" w:rsidP="009418EF">
      <w:pPr>
        <w:textAlignment w:val="baseline"/>
        <w:rPr>
          <w:szCs w:val="24"/>
          <w:lang w:val="es-AR" w:eastAsia="es-AR"/>
        </w:rPr>
      </w:pPr>
      <w:r w:rsidRPr="009418EF">
        <w:rPr>
          <w:szCs w:val="24"/>
          <w:lang w:val="es-AR" w:eastAsia="es-AR"/>
        </w:rPr>
        <w:t>a. Indique el estado actual del convenio de padrinazgo que AUSA tiene respecto del "Expreso Alegría" y la inversión hecha por la empresa hasta el momento. Adjunte el  Convenio de padrinazgo.</w:t>
      </w:r>
    </w:p>
    <w:p w:rsidR="00E226EF" w:rsidRPr="009418EF" w:rsidRDefault="00E226EF" w:rsidP="009418EF">
      <w:pPr>
        <w:rPr>
          <w:szCs w:val="24"/>
          <w:lang w:val="es-AR" w:eastAsia="es-AR"/>
        </w:rPr>
      </w:pPr>
    </w:p>
    <w:p w:rsidR="00E226EF" w:rsidRPr="009418EF" w:rsidRDefault="00E226EF" w:rsidP="009418EF">
      <w:pPr>
        <w:jc w:val="left"/>
        <w:rPr>
          <w:szCs w:val="24"/>
          <w:lang w:val="es-AR" w:eastAsia="es-AR"/>
        </w:rPr>
      </w:pP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  <w:r w:rsidRPr="009418EF">
        <w:rPr>
          <w:lang w:val="es-MX"/>
        </w:rPr>
        <w:t>Art.</w:t>
      </w:r>
      <w:r w:rsidR="00E226EF" w:rsidRPr="009418EF">
        <w:rPr>
          <w:lang w:val="es-MX"/>
        </w:rPr>
        <w:t>2</w:t>
      </w:r>
      <w:r w:rsidRPr="009418EF">
        <w:rPr>
          <w:lang w:val="es-MX"/>
        </w:rPr>
        <w:t xml:space="preserve">  °.- Comuníquese, etc.</w:t>
      </w:r>
    </w:p>
    <w:p w:rsidR="00897736" w:rsidRPr="009418EF" w:rsidRDefault="00897736" w:rsidP="009418EF">
      <w:pPr>
        <w:rPr>
          <w:lang w:val="es-MX"/>
        </w:rPr>
      </w:pPr>
    </w:p>
    <w:p w:rsidR="00897736" w:rsidRPr="009418EF" w:rsidRDefault="00897736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AF6352" w:rsidRPr="009418EF" w:rsidRDefault="00897736" w:rsidP="009418EF">
      <w:pPr>
        <w:rPr>
          <w:lang w:val="es-MX"/>
        </w:rPr>
      </w:pPr>
      <w:r w:rsidRPr="009418EF">
        <w:rPr>
          <w:lang w:val="es-MX"/>
        </w:rPr>
        <w:t>Sala de la Comisión</w:t>
      </w:r>
      <w:r w:rsidR="00E226EF" w:rsidRPr="009418EF">
        <w:rPr>
          <w:lang w:val="es-MX"/>
        </w:rPr>
        <w:t xml:space="preserve">  </w:t>
      </w:r>
      <w:r w:rsidRPr="009418EF">
        <w:rPr>
          <w:lang w:val="es-MX"/>
        </w:rPr>
        <w:t xml:space="preserve"> : </w:t>
      </w:r>
    </w:p>
    <w:p w:rsidR="00B177FE" w:rsidRPr="009418EF" w:rsidRDefault="00B177FE" w:rsidP="009418EF">
      <w:pPr>
        <w:rPr>
          <w:lang w:val="es-MX"/>
        </w:rPr>
      </w:pPr>
    </w:p>
    <w:p w:rsidR="00B177FE" w:rsidRPr="009418EF" w:rsidRDefault="00B177FE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E226EF" w:rsidRPr="009418EF" w:rsidRDefault="00E226EF" w:rsidP="009418EF">
      <w:pPr>
        <w:rPr>
          <w:lang w:val="es-MX"/>
        </w:rPr>
      </w:pPr>
    </w:p>
    <w:p w:rsidR="00DA74B3" w:rsidRPr="009418EF" w:rsidRDefault="00DA74B3" w:rsidP="009418EF">
      <w:pPr>
        <w:spacing w:before="240" w:after="240"/>
      </w:pPr>
    </w:p>
    <w:p w:rsidR="00DA74B3" w:rsidRPr="009418EF" w:rsidRDefault="00DA74B3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  <w:r w:rsidRPr="009418EF">
        <w:t>SOCIAS, Manuel</w:t>
      </w:r>
      <w:r w:rsidRPr="009418EF">
        <w:tab/>
      </w:r>
      <w:r w:rsidRPr="009418EF">
        <w:tab/>
        <w:t xml:space="preserve">                                DE LAS CASAS, Mercedes</w:t>
      </w:r>
    </w:p>
    <w:p w:rsidR="00E226EF" w:rsidRPr="009418EF" w:rsidRDefault="00E226EF" w:rsidP="009418EF">
      <w:pPr>
        <w:spacing w:before="240" w:after="240"/>
      </w:pPr>
      <w:r w:rsidRPr="009418EF">
        <w:t>Presidente</w:t>
      </w:r>
      <w:r w:rsidRPr="009418EF">
        <w:tab/>
      </w:r>
      <w:r w:rsidRPr="009418EF">
        <w:tab/>
      </w:r>
      <w:r w:rsidRPr="009418EF">
        <w:tab/>
      </w:r>
      <w:r w:rsidRPr="009418EF">
        <w:tab/>
      </w:r>
      <w:r w:rsidRPr="009418EF">
        <w:tab/>
        <w:t xml:space="preserve">          Vicepresidenta 1°</w:t>
      </w: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  <w:r w:rsidRPr="009418EF">
        <w:t>REYES, Hernán</w:t>
      </w:r>
      <w:r w:rsidRPr="009418EF">
        <w:tab/>
      </w:r>
      <w:r w:rsidRPr="009418EF">
        <w:tab/>
      </w:r>
      <w:r w:rsidRPr="009418EF">
        <w:tab/>
      </w:r>
      <w:r w:rsidRPr="009418EF">
        <w:tab/>
        <w:t xml:space="preserve">            DEL SOL, Daniel</w:t>
      </w: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  <w:r w:rsidRPr="009418EF">
        <w:t>BOU PÉREZ, Ana María</w:t>
      </w:r>
      <w:r w:rsidRPr="009418EF">
        <w:tab/>
      </w:r>
      <w:r w:rsidRPr="009418EF">
        <w:tab/>
      </w:r>
      <w:r w:rsidRPr="009418EF">
        <w:tab/>
      </w:r>
      <w:r w:rsidRPr="009418EF">
        <w:tab/>
        <w:t>WECK, Diego</w:t>
      </w: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  <w:r w:rsidRPr="009418EF">
        <w:t>VISCHI, Patricia                                                   VELASCO, Laura</w:t>
      </w: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E226EF" w:rsidP="009418EF">
      <w:pPr>
        <w:spacing w:before="240" w:after="240"/>
      </w:pPr>
    </w:p>
    <w:p w:rsidR="00E226EF" w:rsidRPr="009418EF" w:rsidRDefault="00A86F44" w:rsidP="009418EF">
      <w:pPr>
        <w:spacing w:before="240" w:after="240"/>
      </w:pPr>
      <w:r w:rsidRPr="009418EF">
        <w:t xml:space="preserve">                                 </w:t>
      </w:r>
      <w:r w:rsidR="00E226EF" w:rsidRPr="009418EF">
        <w:t>BERENICE,  Iañez</w:t>
      </w:r>
    </w:p>
    <w:p w:rsidR="00E226EF" w:rsidRPr="009418EF" w:rsidRDefault="00E226EF" w:rsidP="009418EF">
      <w:pPr>
        <w:spacing w:before="240" w:after="240"/>
      </w:pPr>
    </w:p>
    <w:p w:rsidR="00AF6352" w:rsidRPr="009418EF" w:rsidRDefault="00AF6352" w:rsidP="009418EF"/>
    <w:sectPr w:rsidR="00AF6352" w:rsidRPr="009418EF" w:rsidSect="00B46058">
      <w:headerReference w:type="default" r:id="rId8"/>
      <w:footerReference w:type="default" r:id="rId9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6FCC" w:rsidRDefault="00B26FCC">
      <w:r>
        <w:separator/>
      </w:r>
    </w:p>
  </w:endnote>
  <w:endnote w:type="continuationSeparator" w:id="1">
    <w:p w:rsidR="00B26FCC" w:rsidRDefault="00B26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A2181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CA2181" w:rsidRDefault="00601A75">
    <w:pPr>
      <w:pStyle w:val="Piedepgina"/>
      <w:rPr>
        <w:color w:val="333333"/>
        <w:sz w:val="20"/>
      </w:rPr>
    </w:pPr>
    <w:r w:rsidRPr="00CA2181">
      <w:rPr>
        <w:color w:val="333333"/>
        <w:sz w:val="20"/>
      </w:rPr>
      <w:t xml:space="preserve">Último cambio: </w:t>
    </w:r>
    <w:fldSimple w:instr=" SAVEDATE  \* MERGEFORMAT ">
      <w:r w:rsidR="00870278" w:rsidRPr="00870278">
        <w:rPr>
          <w:noProof/>
          <w:color w:val="333333"/>
          <w:sz w:val="20"/>
        </w:rPr>
        <w:t>05/05/2022 15:40:00</w:t>
      </w:r>
    </w:fldSimple>
    <w:r w:rsidRPr="00CA2181">
      <w:rPr>
        <w:color w:val="333333"/>
        <w:sz w:val="20"/>
      </w:rPr>
      <w:t xml:space="preserve">  -  Cantidad de caracteres: </w:t>
    </w:r>
    <w:fldSimple w:instr=" NUMCHARS  \* MERGEFORMAT ">
      <w:r w:rsidR="00870278" w:rsidRPr="00870278">
        <w:rPr>
          <w:noProof/>
          <w:color w:val="333333"/>
          <w:sz w:val="20"/>
        </w:rPr>
        <w:t>5167</w:t>
      </w:r>
    </w:fldSimple>
    <w:r w:rsidRPr="00CA2181">
      <w:rPr>
        <w:color w:val="333333"/>
        <w:sz w:val="20"/>
      </w:rPr>
      <w:t xml:space="preserve"> - Cantidad de palabras: </w:t>
    </w:r>
    <w:fldSimple w:instr=" NUMWORDS  \* MERGEFORMAT ">
      <w:r w:rsidR="00870278" w:rsidRPr="00870278">
        <w:rPr>
          <w:noProof/>
          <w:color w:val="333333"/>
          <w:sz w:val="20"/>
        </w:rPr>
        <w:t>986</w:t>
      </w:r>
    </w:fldSimple>
  </w:p>
  <w:p w:rsidR="00601A75" w:rsidRPr="00CA2181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A2181">
      <w:rPr>
        <w:color w:val="333333"/>
        <w:sz w:val="20"/>
      </w:rPr>
      <w:tab/>
      <w:t>Pág.</w:t>
    </w:r>
    <w:r w:rsidRPr="00CA2181">
      <w:rPr>
        <w:color w:val="333333"/>
      </w:rPr>
      <w:t xml:space="preserve"> </w:t>
    </w:r>
    <w:r w:rsidR="00E92301" w:rsidRPr="00CA2181">
      <w:rPr>
        <w:rStyle w:val="Nmerodepgina"/>
        <w:color w:val="333333"/>
      </w:rPr>
      <w:fldChar w:fldCharType="begin"/>
    </w:r>
    <w:r w:rsidRPr="00CA2181">
      <w:rPr>
        <w:rStyle w:val="Nmerodepgina"/>
        <w:color w:val="333333"/>
      </w:rPr>
      <w:instrText xml:space="preserve"> PAGE </w:instrText>
    </w:r>
    <w:r w:rsidR="00E92301" w:rsidRPr="00CA2181">
      <w:rPr>
        <w:rStyle w:val="Nmerodepgina"/>
        <w:color w:val="333333"/>
      </w:rPr>
      <w:fldChar w:fldCharType="separate"/>
    </w:r>
    <w:r w:rsidR="00870278">
      <w:rPr>
        <w:rStyle w:val="Nmerodepgina"/>
        <w:noProof/>
        <w:color w:val="333333"/>
      </w:rPr>
      <w:t>3</w:t>
    </w:r>
    <w:r w:rsidR="00E92301" w:rsidRPr="00CA2181">
      <w:rPr>
        <w:rStyle w:val="Nmerodepgina"/>
        <w:color w:val="333333"/>
      </w:rPr>
      <w:fldChar w:fldCharType="end"/>
    </w:r>
    <w:r w:rsidRPr="00CA2181">
      <w:rPr>
        <w:rStyle w:val="Nmerodepgina"/>
        <w:color w:val="333333"/>
      </w:rPr>
      <w:t>/</w:t>
    </w:r>
    <w:fldSimple w:instr=" NUMPAGES  \* MERGEFORMAT ">
      <w:r w:rsidR="00870278" w:rsidRPr="00870278">
        <w:rPr>
          <w:rStyle w:val="Nmerodepgina"/>
          <w:noProof/>
          <w:color w:val="333333"/>
        </w:rPr>
        <w:t>3</w:t>
      </w:r>
    </w:fldSimple>
    <w:r w:rsidRPr="00CA2181">
      <w:rPr>
        <w:rStyle w:val="Nmerodepgina"/>
        <w:color w:val="333333"/>
      </w:rPr>
      <w:t xml:space="preserve"> </w:t>
    </w:r>
  </w:p>
  <w:p w:rsidR="00601A75" w:rsidRPr="00CA2181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6FCC" w:rsidRDefault="00B26FCC">
      <w:r>
        <w:separator/>
      </w:r>
    </w:p>
  </w:footnote>
  <w:footnote w:type="continuationSeparator" w:id="1">
    <w:p w:rsidR="00B26FCC" w:rsidRDefault="00B26F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Pr="00C8431C" w:rsidRDefault="006B520E" w:rsidP="00897736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86C8F"/>
    <w:multiLevelType w:val="multilevel"/>
    <w:tmpl w:val="FB3A8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A00FB8"/>
    <w:multiLevelType w:val="multilevel"/>
    <w:tmpl w:val="C566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1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3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E226E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6AB8"/>
    <w:rsid w:val="001B770D"/>
    <w:rsid w:val="001C18CC"/>
    <w:rsid w:val="001C472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B520E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5FE0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278"/>
    <w:rsid w:val="00870A2D"/>
    <w:rsid w:val="008844BF"/>
    <w:rsid w:val="0088546A"/>
    <w:rsid w:val="00890C59"/>
    <w:rsid w:val="00890E2F"/>
    <w:rsid w:val="008938E5"/>
    <w:rsid w:val="00897736"/>
    <w:rsid w:val="008B4536"/>
    <w:rsid w:val="008C4AC3"/>
    <w:rsid w:val="00906685"/>
    <w:rsid w:val="00910E0F"/>
    <w:rsid w:val="0091690E"/>
    <w:rsid w:val="009418EF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6F44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FCC"/>
    <w:rsid w:val="00B31B65"/>
    <w:rsid w:val="00B36178"/>
    <w:rsid w:val="00B4532F"/>
    <w:rsid w:val="00B46058"/>
    <w:rsid w:val="00B46232"/>
    <w:rsid w:val="00B85EE2"/>
    <w:rsid w:val="00BE7261"/>
    <w:rsid w:val="00BF2B7B"/>
    <w:rsid w:val="00BF71C2"/>
    <w:rsid w:val="00C26F53"/>
    <w:rsid w:val="00C330CB"/>
    <w:rsid w:val="00C3675D"/>
    <w:rsid w:val="00C419C1"/>
    <w:rsid w:val="00C477FA"/>
    <w:rsid w:val="00C51E49"/>
    <w:rsid w:val="00C521F9"/>
    <w:rsid w:val="00C63351"/>
    <w:rsid w:val="00C71253"/>
    <w:rsid w:val="00C734F9"/>
    <w:rsid w:val="00C73EB4"/>
    <w:rsid w:val="00C87365"/>
    <w:rsid w:val="00C93FF6"/>
    <w:rsid w:val="00CA2181"/>
    <w:rsid w:val="00CC20B0"/>
    <w:rsid w:val="00CE163F"/>
    <w:rsid w:val="00D21279"/>
    <w:rsid w:val="00D43AA2"/>
    <w:rsid w:val="00D518DB"/>
    <w:rsid w:val="00D55ECB"/>
    <w:rsid w:val="00D56316"/>
    <w:rsid w:val="00D61FE4"/>
    <w:rsid w:val="00D67721"/>
    <w:rsid w:val="00D758CE"/>
    <w:rsid w:val="00D76A86"/>
    <w:rsid w:val="00D927D4"/>
    <w:rsid w:val="00DA74B3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226EF"/>
    <w:rsid w:val="00E30CFF"/>
    <w:rsid w:val="00E33161"/>
    <w:rsid w:val="00E469D6"/>
    <w:rsid w:val="00E55186"/>
    <w:rsid w:val="00E615F1"/>
    <w:rsid w:val="00E63146"/>
    <w:rsid w:val="00E64A1D"/>
    <w:rsid w:val="00E74920"/>
    <w:rsid w:val="00E81EE5"/>
    <w:rsid w:val="00E91F21"/>
    <w:rsid w:val="00E92301"/>
    <w:rsid w:val="00EB6956"/>
    <w:rsid w:val="00EC2FD7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FD7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C2FD7"/>
    <w:pPr>
      <w:ind w:left="3686"/>
    </w:pPr>
  </w:style>
  <w:style w:type="paragraph" w:styleId="Encabezado">
    <w:name w:val="header"/>
    <w:basedOn w:val="Normal"/>
    <w:link w:val="EncabezadoCar"/>
    <w:uiPriority w:val="99"/>
    <w:rsid w:val="00EC2FD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C2FD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C2FD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89773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1FE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1FE4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1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etcheverry\AppData\Roaming\Microsoft\Plantillas\Legislatura\Legislar19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Legislar19.DOT</Template>
  <TotalTime>67</TotalTime>
  <Pages>3</Pages>
  <Words>986</Words>
  <Characters>5167</Characters>
  <Application>Microsoft Office Word</Application>
  <DocSecurity>0</DocSecurity>
  <Lines>142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cretcheverry</dc:creator>
  <cp:lastModifiedBy>cretcheverry</cp:lastModifiedBy>
  <cp:revision>15</cp:revision>
  <cp:lastPrinted>2022-05-05T18:43:00Z</cp:lastPrinted>
  <dcterms:created xsi:type="dcterms:W3CDTF">2022-05-05T16:22:00Z</dcterms:created>
  <dcterms:modified xsi:type="dcterms:W3CDTF">2022-05-05T18:44:00Z</dcterms:modified>
</cp:coreProperties>
</file>