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E5902" w:rsidRPr="00DE5902" w:rsidRDefault="00DE5902" w:rsidP="00DE5902">
      <w:pPr>
        <w:spacing w:line="360" w:lineRule="auto"/>
        <w:rPr>
          <w:rFonts w:asciiTheme="majorHAnsi" w:hAnsiTheme="majorHAnsi"/>
          <w:szCs w:val="24"/>
          <w:lang w:val="es-MX"/>
        </w:rPr>
      </w:pPr>
    </w:p>
    <w:p w:rsidR="00DE5902" w:rsidRPr="00DE5902" w:rsidRDefault="00DE5902" w:rsidP="00DE5902">
      <w:pPr>
        <w:spacing w:line="360" w:lineRule="auto"/>
        <w:jc w:val="center"/>
        <w:rPr>
          <w:rFonts w:asciiTheme="majorHAnsi" w:hAnsiTheme="majorHAnsi"/>
          <w:b/>
          <w:szCs w:val="24"/>
          <w:lang w:val="es-MX"/>
        </w:rPr>
      </w:pPr>
      <w:bookmarkStart w:id="0" w:name="PResolución"/>
      <w:bookmarkEnd w:id="0"/>
      <w:r w:rsidRPr="00DE5902">
        <w:rPr>
          <w:rFonts w:asciiTheme="majorHAnsi" w:hAnsiTheme="majorHAnsi"/>
          <w:b/>
          <w:szCs w:val="24"/>
          <w:lang w:val="es-MX"/>
        </w:rPr>
        <w:t>PROYECTO DE RESOLUCIÓN</w:t>
      </w:r>
    </w:p>
    <w:p w:rsidR="00DE5902" w:rsidRDefault="00DE5902" w:rsidP="00DE5902">
      <w:pPr>
        <w:spacing w:line="360" w:lineRule="auto"/>
        <w:rPr>
          <w:rFonts w:asciiTheme="majorHAnsi" w:hAnsiTheme="majorHAnsi"/>
          <w:b/>
          <w:szCs w:val="24"/>
          <w:lang w:val="es-MX"/>
        </w:rPr>
      </w:pPr>
    </w:p>
    <w:p w:rsidR="00DE5902" w:rsidRDefault="00DE5902" w:rsidP="00DE5902">
      <w:pPr>
        <w:spacing w:line="360" w:lineRule="auto"/>
        <w:rPr>
          <w:rFonts w:asciiTheme="majorHAnsi" w:hAnsiTheme="majorHAnsi"/>
          <w:b/>
          <w:szCs w:val="24"/>
          <w:lang w:val="es-MX"/>
        </w:rPr>
      </w:pPr>
    </w:p>
    <w:p w:rsidR="00DE5902" w:rsidRPr="00DE5902" w:rsidRDefault="00DE5902" w:rsidP="00DE5902">
      <w:pPr>
        <w:spacing w:line="360" w:lineRule="auto"/>
        <w:rPr>
          <w:rFonts w:asciiTheme="majorHAnsi" w:hAnsiTheme="majorHAnsi"/>
          <w:b/>
          <w:szCs w:val="24"/>
          <w:lang w:val="es-MX"/>
        </w:rPr>
      </w:pPr>
    </w:p>
    <w:p w:rsidR="00DE5902" w:rsidRPr="00DE5902" w:rsidRDefault="00DE5902" w:rsidP="00DE5902">
      <w:pPr>
        <w:spacing w:line="360" w:lineRule="auto"/>
        <w:rPr>
          <w:rFonts w:asciiTheme="majorHAnsi" w:hAnsiTheme="majorHAnsi"/>
          <w:szCs w:val="24"/>
          <w:lang w:val="es-MX"/>
        </w:rPr>
      </w:pPr>
      <w:r w:rsidRPr="00DE5902">
        <w:rPr>
          <w:rFonts w:asciiTheme="majorHAnsi" w:hAnsiTheme="majorHAnsi"/>
          <w:b/>
          <w:szCs w:val="24"/>
          <w:lang w:val="es-MX"/>
        </w:rPr>
        <w:t xml:space="preserve">Artículo 1°.- </w:t>
      </w:r>
      <w:r w:rsidRPr="0039530E">
        <w:rPr>
          <w:rFonts w:ascii="Cambria" w:hAnsi="Cambria"/>
          <w:szCs w:val="24"/>
        </w:rPr>
        <w:t xml:space="preserve">El Poder Ejecutivo informará, en virtud de las facultades conferidas por el artículo 83, inciso 3° de la Constitución de la Ciudad Autónoma de Buenos Aires, a través de los organismos correspondientes y dentro del plazo de treinta (30) días de recibida la presente, los siguientes puntos </w:t>
      </w:r>
      <w:r>
        <w:rPr>
          <w:rFonts w:ascii="Cambria" w:hAnsi="Cambria"/>
          <w:szCs w:val="24"/>
        </w:rPr>
        <w:t>relacionados</w:t>
      </w:r>
      <w:r w:rsidRPr="00DE5902">
        <w:rPr>
          <w:rFonts w:asciiTheme="majorHAnsi" w:hAnsiTheme="majorHAnsi"/>
          <w:szCs w:val="24"/>
          <w:lang w:val="es-MX"/>
        </w:rPr>
        <w:t xml:space="preserve"> con la Ley Nº 6341 sancionada el 29</w:t>
      </w:r>
      <w:r>
        <w:rPr>
          <w:rFonts w:asciiTheme="majorHAnsi" w:hAnsiTheme="majorHAnsi"/>
          <w:szCs w:val="24"/>
          <w:lang w:val="es-MX"/>
        </w:rPr>
        <w:t xml:space="preserve"> de octubre de 2020 (m</w:t>
      </w:r>
      <w:r w:rsidRPr="00DE5902">
        <w:rPr>
          <w:rFonts w:asciiTheme="majorHAnsi" w:hAnsiTheme="majorHAnsi"/>
          <w:szCs w:val="24"/>
          <w:lang w:val="es-MX"/>
        </w:rPr>
        <w:t>odificatoria de la ley N° 1624) y publicada en el BOC</w:t>
      </w:r>
      <w:r>
        <w:rPr>
          <w:rFonts w:asciiTheme="majorHAnsi" w:hAnsiTheme="majorHAnsi"/>
          <w:szCs w:val="24"/>
          <w:lang w:val="es-MX"/>
        </w:rPr>
        <w:t>A</w:t>
      </w:r>
      <w:r w:rsidRPr="00DE5902">
        <w:rPr>
          <w:rFonts w:asciiTheme="majorHAnsi" w:hAnsiTheme="majorHAnsi"/>
          <w:szCs w:val="24"/>
          <w:lang w:val="es-MX"/>
        </w:rPr>
        <w:t>BA Nº 6003 el 20</w:t>
      </w:r>
      <w:r>
        <w:rPr>
          <w:rFonts w:asciiTheme="majorHAnsi" w:hAnsiTheme="majorHAnsi"/>
          <w:szCs w:val="24"/>
          <w:lang w:val="es-MX"/>
        </w:rPr>
        <w:t xml:space="preserve"> de noviembre del mismo</w:t>
      </w:r>
      <w:r w:rsidRPr="00DE5902">
        <w:rPr>
          <w:rFonts w:asciiTheme="majorHAnsi" w:hAnsiTheme="majorHAnsi"/>
          <w:szCs w:val="24"/>
          <w:lang w:val="es-MX"/>
        </w:rPr>
        <w:t>:</w:t>
      </w:r>
    </w:p>
    <w:p w:rsidR="00DE5902" w:rsidRPr="00DE5902" w:rsidRDefault="00DE5902" w:rsidP="00DE5902">
      <w:pPr>
        <w:spacing w:line="360" w:lineRule="auto"/>
        <w:rPr>
          <w:rFonts w:asciiTheme="majorHAnsi" w:hAnsiTheme="majorHAnsi"/>
          <w:szCs w:val="24"/>
          <w:lang w:val="es-MX"/>
        </w:rPr>
      </w:pPr>
    </w:p>
    <w:p w:rsidR="006916BB" w:rsidRPr="00DE5902" w:rsidRDefault="006916BB" w:rsidP="006916BB">
      <w:pPr>
        <w:spacing w:line="360" w:lineRule="auto"/>
        <w:ind w:left="567"/>
        <w:rPr>
          <w:rFonts w:asciiTheme="majorHAnsi" w:hAnsiTheme="majorHAnsi"/>
          <w:szCs w:val="24"/>
          <w:lang w:val="es-MX"/>
        </w:rPr>
      </w:pPr>
      <w:r>
        <w:rPr>
          <w:rFonts w:asciiTheme="majorHAnsi" w:hAnsiTheme="majorHAnsi"/>
          <w:szCs w:val="24"/>
          <w:lang w:val="es-MX"/>
        </w:rPr>
        <w:t>1</w:t>
      </w:r>
      <w:r w:rsidRPr="00DE5902">
        <w:rPr>
          <w:rFonts w:asciiTheme="majorHAnsi" w:hAnsiTheme="majorHAnsi"/>
          <w:szCs w:val="24"/>
          <w:lang w:val="es-MX"/>
        </w:rPr>
        <w:t>) Indique los motivos por los cuales aún no se ha reglamentado la norma de referencia y c</w:t>
      </w:r>
      <w:r>
        <w:rPr>
          <w:rFonts w:asciiTheme="majorHAnsi" w:hAnsiTheme="majorHAnsi"/>
          <w:szCs w:val="24"/>
          <w:lang w:val="es-MX"/>
        </w:rPr>
        <w:t>uándo se tiene previsto hacerlo.</w:t>
      </w:r>
    </w:p>
    <w:p w:rsidR="006916BB" w:rsidRPr="00DE5902" w:rsidRDefault="006916BB" w:rsidP="006916BB">
      <w:pPr>
        <w:spacing w:line="360" w:lineRule="auto"/>
        <w:ind w:left="567"/>
        <w:rPr>
          <w:rFonts w:asciiTheme="majorHAnsi" w:hAnsiTheme="majorHAnsi"/>
          <w:szCs w:val="24"/>
        </w:rPr>
      </w:pPr>
      <w:r>
        <w:rPr>
          <w:rFonts w:asciiTheme="majorHAnsi" w:hAnsiTheme="majorHAnsi"/>
          <w:szCs w:val="24"/>
          <w:lang w:val="es-MX"/>
        </w:rPr>
        <w:t>2</w:t>
      </w:r>
      <w:r w:rsidRPr="00DE5902">
        <w:rPr>
          <w:rFonts w:asciiTheme="majorHAnsi" w:hAnsiTheme="majorHAnsi"/>
          <w:szCs w:val="24"/>
          <w:lang w:val="es-MX"/>
        </w:rPr>
        <w:t xml:space="preserve">) Si se está dando cumplimiento al inciso </w:t>
      </w:r>
      <w:r>
        <w:rPr>
          <w:rFonts w:asciiTheme="majorHAnsi" w:hAnsiTheme="majorHAnsi"/>
          <w:szCs w:val="24"/>
          <w:lang w:val="es-MX"/>
        </w:rPr>
        <w:t>a</w:t>
      </w:r>
      <w:r w:rsidRPr="00DE5902">
        <w:rPr>
          <w:rFonts w:asciiTheme="majorHAnsi" w:hAnsiTheme="majorHAnsi"/>
          <w:szCs w:val="24"/>
          <w:lang w:val="es-MX"/>
        </w:rPr>
        <w:t>a) d</w:t>
      </w:r>
      <w:r w:rsidRPr="00DE5902">
        <w:rPr>
          <w:rFonts w:asciiTheme="majorHAnsi" w:hAnsiTheme="majorHAnsi"/>
          <w:szCs w:val="24"/>
        </w:rPr>
        <w:t>el Art.7° (Corresponde al Art 8 del Texto Consolidado por ley N° 6017 BOCBA N° 5485 del 25/10/2018 de la Ley 1624) en cuanto a promover políticas públicas tendientes a la eliminación de toda forma de discriminación, violencia y obstaculización en el acceso por motivos sexo-genéricos en el ámbito del deporte. En caso afirmativo se re</w:t>
      </w:r>
      <w:r>
        <w:rPr>
          <w:rFonts w:asciiTheme="majorHAnsi" w:hAnsiTheme="majorHAnsi"/>
          <w:szCs w:val="24"/>
        </w:rPr>
        <w:t>mitirá el detalle de las mismas.</w:t>
      </w:r>
    </w:p>
    <w:p w:rsidR="006916BB" w:rsidRPr="009670E1" w:rsidRDefault="006916BB" w:rsidP="006916BB">
      <w:pPr>
        <w:spacing w:line="360" w:lineRule="auto"/>
        <w:ind w:left="567"/>
        <w:rPr>
          <w:rFonts w:asciiTheme="majorHAnsi" w:hAnsiTheme="majorHAnsi"/>
          <w:szCs w:val="24"/>
        </w:rPr>
      </w:pPr>
      <w:r w:rsidRPr="009670E1">
        <w:rPr>
          <w:rFonts w:asciiTheme="majorHAnsi" w:hAnsiTheme="majorHAnsi"/>
          <w:szCs w:val="24"/>
          <w:lang w:val="es-MX"/>
        </w:rPr>
        <w:t>3) Si se está dando cumplimiento al inciso ab) d</w:t>
      </w:r>
      <w:r w:rsidRPr="009670E1">
        <w:rPr>
          <w:rFonts w:asciiTheme="majorHAnsi" w:hAnsiTheme="majorHAnsi"/>
          <w:szCs w:val="24"/>
        </w:rPr>
        <w:t>el Art.7° (Corresponde al Art 8 del Texto Consolidado por ley N° 6017 BOCBA N° 5485 del 25/10/2018 de la Ley 1624) en cuanto a promover políticas públicas que garanticen el pleno acceso y participación de las personas con discapacidad en todas las expresiones del deporte. Detalle de qué modos se promueven las políticas y si se abordan todos los tipos de discapacidad en ellas.</w:t>
      </w:r>
    </w:p>
    <w:p w:rsidR="006916BB" w:rsidRPr="00231ACA" w:rsidRDefault="006916BB" w:rsidP="006916BB">
      <w:pPr>
        <w:spacing w:line="360" w:lineRule="auto"/>
        <w:ind w:left="567"/>
        <w:rPr>
          <w:rFonts w:asciiTheme="majorHAnsi" w:hAnsiTheme="majorHAnsi"/>
          <w:szCs w:val="24"/>
        </w:rPr>
      </w:pPr>
      <w:r>
        <w:rPr>
          <w:rFonts w:asciiTheme="majorHAnsi" w:hAnsiTheme="majorHAnsi"/>
          <w:szCs w:val="24"/>
        </w:rPr>
        <w:t>4</w:t>
      </w:r>
      <w:r w:rsidRPr="00DE5902">
        <w:rPr>
          <w:rFonts w:asciiTheme="majorHAnsi" w:hAnsiTheme="majorHAnsi"/>
          <w:szCs w:val="24"/>
        </w:rPr>
        <w:t>)</w:t>
      </w:r>
      <w:r w:rsidRPr="00DE5902">
        <w:rPr>
          <w:rFonts w:asciiTheme="majorHAnsi" w:hAnsiTheme="majorHAnsi"/>
          <w:szCs w:val="24"/>
          <w:lang w:val="es-MX"/>
        </w:rPr>
        <w:t xml:space="preserve"> Si se está dando cumplimiento al inciso ac) d</w:t>
      </w:r>
      <w:r w:rsidRPr="00DE5902">
        <w:rPr>
          <w:rFonts w:asciiTheme="majorHAnsi" w:hAnsiTheme="majorHAnsi"/>
          <w:szCs w:val="24"/>
        </w:rPr>
        <w:t>el Art.7° (Corresponde al Art 8 del Texto Consolidado por ley N° 6017 BOCBA N° 5485 del 25/10/2018 de la Ley 1624) en cuanto a diseñar e implementar programas de capacitación en género al interior de</w:t>
      </w:r>
      <w:r>
        <w:rPr>
          <w:rFonts w:asciiTheme="majorHAnsi" w:hAnsiTheme="majorHAnsi"/>
          <w:szCs w:val="24"/>
        </w:rPr>
        <w:t xml:space="preserve"> </w:t>
      </w:r>
      <w:r w:rsidRPr="00DE5902">
        <w:rPr>
          <w:rFonts w:asciiTheme="majorHAnsi" w:hAnsiTheme="majorHAnsi"/>
          <w:szCs w:val="24"/>
        </w:rPr>
        <w:t>la Subsecretaría de Deportes así como a las instituciones inscriptas en el Registro Único de Instituciones Deportivas.</w:t>
      </w:r>
    </w:p>
    <w:p w:rsidR="006916BB" w:rsidRDefault="006916BB" w:rsidP="006916BB">
      <w:pPr>
        <w:spacing w:line="360" w:lineRule="auto"/>
        <w:ind w:left="567"/>
        <w:rPr>
          <w:rFonts w:asciiTheme="majorHAnsi" w:hAnsiTheme="majorHAnsi"/>
          <w:szCs w:val="24"/>
        </w:rPr>
      </w:pPr>
      <w:r>
        <w:rPr>
          <w:rFonts w:asciiTheme="majorHAnsi" w:hAnsiTheme="majorHAnsi"/>
          <w:szCs w:val="24"/>
        </w:rPr>
        <w:t>5</w:t>
      </w:r>
      <w:r w:rsidRPr="00DE5902">
        <w:rPr>
          <w:rFonts w:asciiTheme="majorHAnsi" w:hAnsiTheme="majorHAnsi"/>
          <w:szCs w:val="24"/>
        </w:rPr>
        <w:t>)</w:t>
      </w:r>
      <w:r w:rsidRPr="00DE5902">
        <w:rPr>
          <w:rFonts w:asciiTheme="majorHAnsi" w:hAnsiTheme="majorHAnsi"/>
          <w:szCs w:val="24"/>
          <w:lang w:val="es-MX"/>
        </w:rPr>
        <w:t xml:space="preserve"> Si se está dando cumplimiento al inciso ad) d</w:t>
      </w:r>
      <w:r w:rsidRPr="00DE5902">
        <w:rPr>
          <w:rFonts w:asciiTheme="majorHAnsi" w:hAnsiTheme="majorHAnsi"/>
          <w:szCs w:val="24"/>
        </w:rPr>
        <w:t xml:space="preserve">el Art.7° (Corresponde al Art 8 del Texto Consolidado por ley N° 6017 BOCBA N° 5485 del 25/10/2018 de la Ley 1624) en lo que respecta a elaborar en articulación con la Dirección General de la Mujer y la Dirección General de Convivencia en la Diversidad u organismo/s que la/s reemplace/n una guía de capacitación en género y un protocolo de acción y prevención de la violencia por motivos sexo-genéricos en todos los organismos e instituciones del deporte y promover su difusión y </w:t>
      </w:r>
      <w:r w:rsidRPr="00DE5902">
        <w:rPr>
          <w:rFonts w:asciiTheme="majorHAnsi" w:hAnsiTheme="majorHAnsi"/>
          <w:szCs w:val="24"/>
        </w:rPr>
        <w:lastRenderedPageBreak/>
        <w:t>aplicación efectiva en el ámbito del deporte de la Ciudad Autónoma de Buenos Aires. En caso afirmativo se remitirá copia de la guía y del protocolo.</w:t>
      </w:r>
    </w:p>
    <w:p w:rsidR="006916BB" w:rsidRPr="00DE5902" w:rsidRDefault="006916BB" w:rsidP="006916BB">
      <w:pPr>
        <w:spacing w:line="360" w:lineRule="auto"/>
        <w:ind w:left="567"/>
        <w:rPr>
          <w:rFonts w:asciiTheme="majorHAnsi" w:hAnsiTheme="majorHAnsi"/>
          <w:szCs w:val="24"/>
        </w:rPr>
      </w:pPr>
      <w:r>
        <w:rPr>
          <w:rFonts w:asciiTheme="majorHAnsi" w:hAnsiTheme="majorHAnsi"/>
          <w:szCs w:val="24"/>
        </w:rPr>
        <w:t>6</w:t>
      </w:r>
      <w:r w:rsidRPr="00DE5902">
        <w:rPr>
          <w:rFonts w:asciiTheme="majorHAnsi" w:hAnsiTheme="majorHAnsi"/>
          <w:szCs w:val="24"/>
        </w:rPr>
        <w:t>) Si se está dando cumplimiento al Art.15</w:t>
      </w:r>
      <w:r>
        <w:rPr>
          <w:rFonts w:asciiTheme="majorHAnsi" w:hAnsiTheme="majorHAnsi"/>
          <w:szCs w:val="24"/>
        </w:rPr>
        <w:t xml:space="preserve">° </w:t>
      </w:r>
      <w:r w:rsidRPr="00DE5902">
        <w:rPr>
          <w:rFonts w:asciiTheme="majorHAnsi" w:hAnsiTheme="majorHAnsi"/>
          <w:szCs w:val="24"/>
        </w:rPr>
        <w:t>(Corresponde al Art 16 del Texto Consolidado por ley N° 6017 BOCBA N° 5485 del 25/10/2018 de la Ley 1624),</w:t>
      </w:r>
      <w:r>
        <w:rPr>
          <w:rFonts w:asciiTheme="majorHAnsi" w:hAnsiTheme="majorHAnsi"/>
          <w:szCs w:val="24"/>
        </w:rPr>
        <w:t xml:space="preserve"> </w:t>
      </w:r>
      <w:r w:rsidRPr="00DE5902">
        <w:rPr>
          <w:rFonts w:asciiTheme="majorHAnsi" w:hAnsiTheme="majorHAnsi"/>
          <w:szCs w:val="24"/>
        </w:rPr>
        <w:t>en lo atinente a la conformación de la Comisión Directiva que debe asegurar que de los cuatro (4) vocales restantes, al menos una (1) deberá ser mujer</w:t>
      </w:r>
      <w:r>
        <w:rPr>
          <w:rFonts w:asciiTheme="majorHAnsi" w:hAnsiTheme="majorHAnsi"/>
          <w:szCs w:val="24"/>
        </w:rPr>
        <w:t>.</w:t>
      </w:r>
    </w:p>
    <w:p w:rsidR="006916BB" w:rsidRPr="009670E1" w:rsidRDefault="006916BB" w:rsidP="006916BB">
      <w:pPr>
        <w:spacing w:line="360" w:lineRule="auto"/>
        <w:ind w:left="567"/>
        <w:rPr>
          <w:rFonts w:asciiTheme="majorHAnsi" w:hAnsiTheme="majorHAnsi"/>
          <w:szCs w:val="24"/>
        </w:rPr>
      </w:pPr>
      <w:r w:rsidRPr="009670E1">
        <w:rPr>
          <w:rFonts w:asciiTheme="majorHAnsi" w:hAnsiTheme="majorHAnsi"/>
          <w:szCs w:val="24"/>
        </w:rPr>
        <w:t>7) Si se está dando cumplimiento al Art.24° (Corresponde al Art 25 del Texto Consolidado por ley N° 6017 BOCBA N° 5485 del 25/10/2018 de la Ley 1624), en lo atinente a la integración de mujeres en los consejos consultivos comunales del Deporte.</w:t>
      </w:r>
    </w:p>
    <w:p w:rsidR="006916BB" w:rsidRPr="00DE5902" w:rsidRDefault="006916BB" w:rsidP="006916BB">
      <w:pPr>
        <w:spacing w:line="360" w:lineRule="auto"/>
        <w:ind w:left="567"/>
        <w:rPr>
          <w:rFonts w:asciiTheme="majorHAnsi" w:hAnsiTheme="majorHAnsi"/>
          <w:szCs w:val="24"/>
        </w:rPr>
      </w:pPr>
      <w:r>
        <w:rPr>
          <w:rFonts w:asciiTheme="majorHAnsi" w:hAnsiTheme="majorHAnsi"/>
          <w:szCs w:val="24"/>
        </w:rPr>
        <w:t>8</w:t>
      </w:r>
      <w:r w:rsidRPr="00DE5902">
        <w:rPr>
          <w:rFonts w:asciiTheme="majorHAnsi" w:hAnsiTheme="majorHAnsi"/>
          <w:szCs w:val="24"/>
        </w:rPr>
        <w:t>) Si se está dando cumplimiento al inciso f) del</w:t>
      </w:r>
      <w:r>
        <w:rPr>
          <w:rFonts w:asciiTheme="majorHAnsi" w:hAnsiTheme="majorHAnsi"/>
          <w:szCs w:val="24"/>
        </w:rPr>
        <w:t xml:space="preserve"> </w:t>
      </w:r>
      <w:r w:rsidRPr="00DE5902">
        <w:rPr>
          <w:rFonts w:asciiTheme="majorHAnsi" w:hAnsiTheme="majorHAnsi"/>
          <w:szCs w:val="24"/>
        </w:rPr>
        <w:t>Art.26</w:t>
      </w:r>
      <w:r>
        <w:rPr>
          <w:rFonts w:asciiTheme="majorHAnsi" w:hAnsiTheme="majorHAnsi"/>
          <w:szCs w:val="24"/>
        </w:rPr>
        <w:t xml:space="preserve">° </w:t>
      </w:r>
      <w:r w:rsidRPr="00DE5902">
        <w:rPr>
          <w:rFonts w:asciiTheme="majorHAnsi" w:hAnsiTheme="majorHAnsi"/>
          <w:szCs w:val="24"/>
        </w:rPr>
        <w:t xml:space="preserve">(Corresponde al Art 27 del Texto Consolidado por ley N° 6017 BOCBA N° 5485 del 25/10/2018 de la Ley 1624), en cuanto a difundir y capacitar en género, promoviendo la erradicación de cualquier forma de discriminación, obstaculización en el acceso y/o violencia en el deporte. En caso afirmativo, se remitirán los lineamientos de las </w:t>
      </w:r>
      <w:r>
        <w:rPr>
          <w:rFonts w:asciiTheme="majorHAnsi" w:hAnsiTheme="majorHAnsi"/>
          <w:szCs w:val="24"/>
        </w:rPr>
        <w:t>políticas adoptadas al respecto.</w:t>
      </w:r>
    </w:p>
    <w:p w:rsidR="006916BB" w:rsidRPr="00DE5902" w:rsidRDefault="006916BB" w:rsidP="006916BB">
      <w:pPr>
        <w:spacing w:line="360" w:lineRule="auto"/>
        <w:ind w:left="567"/>
        <w:rPr>
          <w:rFonts w:asciiTheme="majorHAnsi" w:hAnsiTheme="majorHAnsi"/>
          <w:szCs w:val="24"/>
        </w:rPr>
      </w:pPr>
      <w:r>
        <w:rPr>
          <w:rFonts w:asciiTheme="majorHAnsi" w:hAnsiTheme="majorHAnsi"/>
          <w:szCs w:val="24"/>
        </w:rPr>
        <w:t>9</w:t>
      </w:r>
      <w:r w:rsidRPr="00DE5902">
        <w:rPr>
          <w:rFonts w:asciiTheme="majorHAnsi" w:hAnsiTheme="majorHAnsi"/>
          <w:szCs w:val="24"/>
        </w:rPr>
        <w:t>) Si se está dando cumplimiento al Art. 34</w:t>
      </w:r>
      <w:r>
        <w:rPr>
          <w:rFonts w:asciiTheme="majorHAnsi" w:hAnsiTheme="majorHAnsi"/>
          <w:szCs w:val="24"/>
        </w:rPr>
        <w:t xml:space="preserve">° </w:t>
      </w:r>
      <w:r w:rsidRPr="00DE5902">
        <w:rPr>
          <w:rFonts w:asciiTheme="majorHAnsi" w:hAnsiTheme="majorHAnsi"/>
          <w:szCs w:val="24"/>
        </w:rPr>
        <w:t xml:space="preserve">(Corresponde al Art 35 del Texto Consolidado por ley N° 6017 BOCBA N° 5485 del 25/10/2018 de la Ley 1624), en lo referente a coordinar la relación del Registro con el subsistema de acreditación de las asociaciones civiles deportivas integrantes del Sistema Institucional del Deporte y la Actividad Física y el registro permanente del Sistema Institucional del Deporte y la Actividad Física creado por Ley </w:t>
      </w:r>
      <w:r>
        <w:rPr>
          <w:rFonts w:asciiTheme="majorHAnsi" w:hAnsiTheme="majorHAnsi"/>
          <w:szCs w:val="24"/>
        </w:rPr>
        <w:t>N° 20.655 y sus modificatorias.</w:t>
      </w:r>
    </w:p>
    <w:p w:rsidR="006916BB" w:rsidRPr="00DE5902" w:rsidRDefault="006916BB" w:rsidP="006916BB">
      <w:pPr>
        <w:spacing w:line="360" w:lineRule="auto"/>
        <w:ind w:left="567"/>
        <w:rPr>
          <w:rFonts w:asciiTheme="majorHAnsi" w:hAnsiTheme="majorHAnsi"/>
          <w:szCs w:val="24"/>
        </w:rPr>
      </w:pPr>
      <w:r>
        <w:rPr>
          <w:rFonts w:asciiTheme="majorHAnsi" w:hAnsiTheme="majorHAnsi"/>
          <w:szCs w:val="24"/>
        </w:rPr>
        <w:t>10</w:t>
      </w:r>
      <w:r w:rsidRPr="00DE5902">
        <w:rPr>
          <w:rFonts w:asciiTheme="majorHAnsi" w:hAnsiTheme="majorHAnsi"/>
          <w:szCs w:val="24"/>
        </w:rPr>
        <w:t>) Si se está dando cumplimiento a la Disposición Transitoria Primera en lo que respecta a que durante los primeros cinco (5) años desde la sanción de la ley aquellas instituciones inscriptas en el Registro Único de Instituciones Deportivas que acrediten haber incorporado progresivamente mujeres en las listas que se presenten para la elección de los y las integrantes de sus Comisiones Directivas tendrán preferencia en la asignación de los recursos del Fondo del Deporte. Se remitirá copia de las instituciones beneficiadas por esta disposición.</w:t>
      </w:r>
    </w:p>
    <w:p w:rsidR="00DE5902" w:rsidRPr="00DE5902" w:rsidRDefault="00DE5902" w:rsidP="00DE5902">
      <w:pPr>
        <w:spacing w:line="360" w:lineRule="auto"/>
        <w:rPr>
          <w:rFonts w:asciiTheme="majorHAnsi" w:hAnsiTheme="majorHAnsi"/>
          <w:szCs w:val="24"/>
          <w:lang w:val="es-MX"/>
        </w:rPr>
      </w:pPr>
    </w:p>
    <w:p w:rsidR="00DE5902" w:rsidRPr="00DE5902" w:rsidRDefault="00DE5902" w:rsidP="00DE5902">
      <w:pPr>
        <w:spacing w:line="360" w:lineRule="auto"/>
        <w:rPr>
          <w:rFonts w:asciiTheme="majorHAnsi" w:hAnsiTheme="majorHAnsi"/>
          <w:szCs w:val="24"/>
          <w:lang w:val="es-MX"/>
        </w:rPr>
      </w:pPr>
      <w:r w:rsidRPr="00EA576D">
        <w:rPr>
          <w:rFonts w:asciiTheme="majorHAnsi" w:hAnsiTheme="majorHAnsi"/>
          <w:b/>
          <w:szCs w:val="24"/>
          <w:lang w:val="es-MX"/>
        </w:rPr>
        <w:t>Art.2 °.-</w:t>
      </w:r>
      <w:r w:rsidRPr="00DE5902">
        <w:rPr>
          <w:rFonts w:asciiTheme="majorHAnsi" w:hAnsiTheme="majorHAnsi"/>
          <w:szCs w:val="24"/>
          <w:lang w:val="es-MX"/>
        </w:rPr>
        <w:t xml:space="preserve"> Comuníquese, etc.</w:t>
      </w:r>
    </w:p>
    <w:p w:rsidR="00DE5902" w:rsidRPr="00DE5902" w:rsidRDefault="00DE5902" w:rsidP="00DE5902">
      <w:pPr>
        <w:spacing w:line="360" w:lineRule="auto"/>
        <w:rPr>
          <w:rFonts w:asciiTheme="majorHAnsi" w:hAnsiTheme="majorHAnsi"/>
          <w:szCs w:val="24"/>
          <w:lang w:val="es-MX"/>
        </w:rPr>
      </w:pPr>
    </w:p>
    <w:p w:rsidR="00DE5902" w:rsidRDefault="00DE5902" w:rsidP="00DE5902">
      <w:pPr>
        <w:spacing w:line="360" w:lineRule="auto"/>
        <w:rPr>
          <w:rFonts w:asciiTheme="majorHAnsi" w:hAnsiTheme="majorHAnsi"/>
          <w:szCs w:val="24"/>
          <w:lang w:val="es-MX"/>
        </w:rPr>
      </w:pPr>
    </w:p>
    <w:p w:rsidR="00EA576D" w:rsidRPr="00DE5902" w:rsidRDefault="00EA576D" w:rsidP="00DE5902">
      <w:pPr>
        <w:spacing w:line="360" w:lineRule="auto"/>
        <w:rPr>
          <w:rFonts w:asciiTheme="majorHAnsi" w:hAnsiTheme="majorHAnsi"/>
          <w:szCs w:val="24"/>
          <w:lang w:val="es-MX"/>
        </w:rPr>
      </w:pPr>
    </w:p>
    <w:p w:rsidR="00DE5902" w:rsidRPr="00DE5902" w:rsidRDefault="00EA576D" w:rsidP="00EA576D">
      <w:pPr>
        <w:spacing w:line="360" w:lineRule="auto"/>
        <w:jc w:val="center"/>
        <w:rPr>
          <w:rFonts w:asciiTheme="majorHAnsi" w:hAnsiTheme="majorHAnsi"/>
          <w:szCs w:val="24"/>
          <w:lang w:val="es-MX"/>
        </w:rPr>
      </w:pPr>
      <w:r w:rsidRPr="00EA576D">
        <w:rPr>
          <w:rFonts w:asciiTheme="majorHAnsi" w:hAnsiTheme="majorHAnsi"/>
          <w:b/>
          <w:szCs w:val="24"/>
          <w:lang w:val="es-MX"/>
        </w:rPr>
        <w:t>FUNDAMENTOS</w:t>
      </w:r>
    </w:p>
    <w:p w:rsidR="00EA576D" w:rsidRDefault="00DE5902" w:rsidP="00EA576D">
      <w:pPr>
        <w:spacing w:line="360" w:lineRule="auto"/>
        <w:ind w:firstLine="567"/>
        <w:rPr>
          <w:rFonts w:asciiTheme="majorHAnsi" w:hAnsiTheme="majorHAnsi"/>
          <w:szCs w:val="24"/>
          <w:lang w:val="es-MX"/>
        </w:rPr>
      </w:pPr>
      <w:r w:rsidRPr="00DE5902">
        <w:rPr>
          <w:rFonts w:asciiTheme="majorHAnsi" w:hAnsiTheme="majorHAnsi"/>
          <w:szCs w:val="24"/>
          <w:lang w:val="es-MX"/>
        </w:rPr>
        <w:lastRenderedPageBreak/>
        <w:t>Señor Presidente</w:t>
      </w:r>
      <w:r w:rsidR="00EA576D">
        <w:rPr>
          <w:rFonts w:asciiTheme="majorHAnsi" w:hAnsiTheme="majorHAnsi"/>
          <w:szCs w:val="24"/>
          <w:lang w:val="es-MX"/>
        </w:rPr>
        <w:t>:</w:t>
      </w:r>
    </w:p>
    <w:p w:rsidR="00EA576D" w:rsidRDefault="00DE5902" w:rsidP="00EA576D">
      <w:pPr>
        <w:spacing w:line="360" w:lineRule="auto"/>
        <w:ind w:firstLine="567"/>
        <w:rPr>
          <w:rFonts w:asciiTheme="majorHAnsi" w:hAnsiTheme="majorHAnsi"/>
          <w:szCs w:val="24"/>
        </w:rPr>
      </w:pPr>
      <w:r w:rsidRPr="00DE5902">
        <w:rPr>
          <w:rFonts w:asciiTheme="majorHAnsi" w:hAnsiTheme="majorHAnsi"/>
          <w:szCs w:val="24"/>
          <w:lang w:val="es-MX"/>
        </w:rPr>
        <w:t>El 29 de octubre del año 2020 se sancionó la ley identificada como de "</w:t>
      </w:r>
      <w:r w:rsidR="00EA576D">
        <w:rPr>
          <w:rFonts w:asciiTheme="majorHAnsi" w:hAnsiTheme="majorHAnsi"/>
          <w:szCs w:val="24"/>
          <w:lang w:val="es-MX"/>
        </w:rPr>
        <w:t xml:space="preserve">Equidad </w:t>
      </w:r>
      <w:bookmarkStart w:id="1" w:name="_GoBack"/>
      <w:bookmarkEnd w:id="1"/>
      <w:r w:rsidRPr="00DE5902">
        <w:rPr>
          <w:rFonts w:asciiTheme="majorHAnsi" w:hAnsiTheme="majorHAnsi"/>
          <w:szCs w:val="24"/>
        </w:rPr>
        <w:t>de género en el deporte" que actualiza la Ley Nº 1624 (</w:t>
      </w:r>
      <w:r w:rsidR="00EA576D">
        <w:rPr>
          <w:rFonts w:asciiTheme="majorHAnsi" w:hAnsiTheme="majorHAnsi"/>
          <w:szCs w:val="24"/>
        </w:rPr>
        <w:t>"</w:t>
      </w:r>
      <w:r w:rsidRPr="00DE5902">
        <w:rPr>
          <w:rFonts w:asciiTheme="majorHAnsi" w:hAnsiTheme="majorHAnsi"/>
          <w:szCs w:val="24"/>
        </w:rPr>
        <w:t xml:space="preserve">Ley del </w:t>
      </w:r>
      <w:r w:rsidR="00EA576D">
        <w:rPr>
          <w:rFonts w:asciiTheme="majorHAnsi" w:hAnsiTheme="majorHAnsi"/>
          <w:szCs w:val="24"/>
        </w:rPr>
        <w:t>d</w:t>
      </w:r>
      <w:r w:rsidRPr="00DE5902">
        <w:rPr>
          <w:rFonts w:asciiTheme="majorHAnsi" w:hAnsiTheme="majorHAnsi"/>
          <w:szCs w:val="24"/>
        </w:rPr>
        <w:t>eporte</w:t>
      </w:r>
      <w:r w:rsidR="00EA576D">
        <w:rPr>
          <w:rFonts w:asciiTheme="majorHAnsi" w:hAnsiTheme="majorHAnsi"/>
          <w:szCs w:val="24"/>
        </w:rPr>
        <w:t>"</w:t>
      </w:r>
      <w:r w:rsidRPr="00DE5902">
        <w:rPr>
          <w:rFonts w:asciiTheme="majorHAnsi" w:hAnsiTheme="majorHAnsi"/>
          <w:szCs w:val="24"/>
        </w:rPr>
        <w:t>) mediante la cual se incorpora la perspectiva de género, se promueve la igualdad y representación de las diferentes identidades de género en el deporte y se propicia garantizar la participación, el pleno desarrollo y el acceso de todas las personas sin distinción de su identidad sexo-genérica, así como ampliar las posibilidades de aquellas instituciones que se acojan a la normativa propuesta por esta norma.</w:t>
      </w:r>
    </w:p>
    <w:p w:rsidR="00EA576D" w:rsidRDefault="00DE5902" w:rsidP="00EA576D">
      <w:pPr>
        <w:spacing w:line="360" w:lineRule="auto"/>
        <w:ind w:firstLine="567"/>
        <w:rPr>
          <w:rFonts w:asciiTheme="majorHAnsi" w:hAnsiTheme="majorHAnsi"/>
          <w:szCs w:val="24"/>
        </w:rPr>
      </w:pPr>
      <w:r w:rsidRPr="00DE5902">
        <w:rPr>
          <w:rFonts w:asciiTheme="majorHAnsi" w:hAnsiTheme="majorHAnsi"/>
          <w:szCs w:val="24"/>
        </w:rPr>
        <w:t>Dada la trascendencia de la norma de referencia genera preocupación que esta ley aun no haya sido reglamentada al tiempo que resulta de enorme trascendencia tomar conocimiento sobre el cumplimiento de varios puntos contenidos en la misma.</w:t>
      </w:r>
    </w:p>
    <w:p w:rsidR="00EA576D" w:rsidRDefault="00DE5902" w:rsidP="00EA576D">
      <w:pPr>
        <w:spacing w:line="360" w:lineRule="auto"/>
        <w:ind w:firstLine="567"/>
        <w:rPr>
          <w:rFonts w:asciiTheme="majorHAnsi" w:hAnsiTheme="majorHAnsi"/>
          <w:szCs w:val="24"/>
        </w:rPr>
      </w:pPr>
      <w:r w:rsidRPr="00DE5902">
        <w:rPr>
          <w:rFonts w:asciiTheme="majorHAnsi" w:hAnsiTheme="majorHAnsi"/>
          <w:szCs w:val="24"/>
        </w:rPr>
        <w:t>Es así que aspectos referidos a la generación de políticas públicas a efectos de eliminar toda forma de discriminación, violencia y obstaculización en el acceso por motivos sexo-genéricos en el ámbito del deporte o a la participación de la mujer en distintos estamentos de decisión son principios contemplados en esta norma por lo que su cumplimiento redundaría en beneficio de una sociedad más justa e igualitaria por lo menos en el ámbito del deporte.</w:t>
      </w:r>
    </w:p>
    <w:p w:rsidR="00EA576D" w:rsidRDefault="00DE5902" w:rsidP="00EA576D">
      <w:pPr>
        <w:spacing w:line="360" w:lineRule="auto"/>
        <w:ind w:firstLine="567"/>
        <w:rPr>
          <w:rFonts w:asciiTheme="majorHAnsi" w:hAnsiTheme="majorHAnsi"/>
          <w:szCs w:val="24"/>
        </w:rPr>
      </w:pPr>
      <w:r w:rsidRPr="00DE5902">
        <w:rPr>
          <w:rFonts w:asciiTheme="majorHAnsi" w:hAnsiTheme="majorHAnsi"/>
          <w:szCs w:val="24"/>
        </w:rPr>
        <w:t>Se propicia fundamentalmente la efectiva igualdad de géneros en un plazo no mayor a los cinco años para que de esta forma las instituciones deportivas modifiquen la composición y la integración de sus respectivas comisiones directivas y del Consejo Asesor del Deporte.</w:t>
      </w:r>
    </w:p>
    <w:p w:rsidR="00EA576D" w:rsidRDefault="00DE5902" w:rsidP="00EA576D">
      <w:pPr>
        <w:spacing w:line="360" w:lineRule="auto"/>
        <w:ind w:firstLine="567"/>
        <w:rPr>
          <w:rFonts w:asciiTheme="majorHAnsi" w:hAnsiTheme="majorHAnsi"/>
          <w:szCs w:val="24"/>
        </w:rPr>
      </w:pPr>
      <w:r w:rsidRPr="00DE5902">
        <w:rPr>
          <w:rFonts w:asciiTheme="majorHAnsi" w:hAnsiTheme="majorHAnsi"/>
          <w:szCs w:val="24"/>
        </w:rPr>
        <w:t>El cumplimiento estricto de esta norma es un paso más en la eliminación de aquellas barreras que impiden la equidad de género en el acceso a la actividad deportiva y a las instituciones incorporando el concepto de perspectiva de género y generando a la vez igualdad de oportunidades en este ámbito.</w:t>
      </w:r>
    </w:p>
    <w:p w:rsidR="00AF6352" w:rsidRPr="00DE5902" w:rsidRDefault="00DE5902" w:rsidP="00EA576D">
      <w:pPr>
        <w:spacing w:line="360" w:lineRule="auto"/>
        <w:ind w:firstLine="567"/>
        <w:rPr>
          <w:rFonts w:asciiTheme="majorHAnsi" w:hAnsiTheme="majorHAnsi"/>
          <w:szCs w:val="24"/>
        </w:rPr>
      </w:pPr>
      <w:r w:rsidRPr="00DE5902">
        <w:rPr>
          <w:rFonts w:asciiTheme="majorHAnsi" w:hAnsiTheme="majorHAnsi"/>
          <w:szCs w:val="24"/>
        </w:rPr>
        <w:t>Por todo lo expuesto y a efectos de tomar conocimiento sobre el estricto cumplimiento de esta norma es que solicit</w:t>
      </w:r>
      <w:r w:rsidR="00EA576D">
        <w:rPr>
          <w:rFonts w:asciiTheme="majorHAnsi" w:hAnsiTheme="majorHAnsi"/>
          <w:szCs w:val="24"/>
        </w:rPr>
        <w:t>o la aprobación de la presente.</w:t>
      </w:r>
    </w:p>
    <w:sectPr w:rsidR="00AF6352" w:rsidRPr="00DE5902" w:rsidSect="005A3AA1">
      <w:headerReference w:type="default" r:id="rId7"/>
      <w:footerReference w:type="default" r:id="rId8"/>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76DEC" w:rsidRDefault="00D76DEC">
      <w:r>
        <w:separator/>
      </w:r>
    </w:p>
  </w:endnote>
  <w:endnote w:type="continuationSeparator" w:id="1">
    <w:p w:rsidR="00D76DEC" w:rsidRDefault="00D76DE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CE5803" w:rsidRDefault="00601A75" w:rsidP="00CE5803">
    <w:pPr>
      <w:pStyle w:val="Piedepgina"/>
      <w:jc w:val="center"/>
      <w:rPr>
        <w:rFonts w:asciiTheme="majorHAnsi" w:hAnsiTheme="majorHAnsi"/>
        <w:color w:val="333333"/>
        <w:sz w:val="20"/>
      </w:rPr>
    </w:pPr>
    <w:bookmarkStart w:id="2" w:name="Proyecto"/>
    <w:bookmarkEnd w:id="2"/>
  </w:p>
  <w:p w:rsidR="00601A75" w:rsidRPr="00CE5803" w:rsidRDefault="00601A75" w:rsidP="00CE5803">
    <w:pPr>
      <w:pStyle w:val="Piedepgina"/>
      <w:jc w:val="center"/>
      <w:rPr>
        <w:rFonts w:asciiTheme="majorHAnsi" w:hAnsiTheme="majorHAnsi"/>
        <w:color w:val="333333"/>
        <w:sz w:val="20"/>
      </w:rPr>
    </w:pPr>
    <w:r w:rsidRPr="00CE5803">
      <w:rPr>
        <w:rFonts w:asciiTheme="majorHAnsi" w:hAnsiTheme="majorHAnsi"/>
        <w:color w:val="333333"/>
        <w:sz w:val="20"/>
      </w:rPr>
      <w:t xml:space="preserve">Último cambio: </w:t>
    </w:r>
    <w:fldSimple w:instr=" SAVEDATE  \* MERGEFORMAT ">
      <w:r w:rsidR="007133BE" w:rsidRPr="007133BE">
        <w:rPr>
          <w:rFonts w:asciiTheme="majorHAnsi" w:hAnsiTheme="majorHAnsi"/>
          <w:noProof/>
          <w:color w:val="333333"/>
          <w:sz w:val="20"/>
        </w:rPr>
        <w:t>26/04/2022 11:56:00</w:t>
      </w:r>
    </w:fldSimple>
    <w:r w:rsidRPr="00CE5803">
      <w:rPr>
        <w:rFonts w:asciiTheme="majorHAnsi" w:hAnsiTheme="majorHAnsi"/>
        <w:color w:val="333333"/>
        <w:sz w:val="20"/>
      </w:rPr>
      <w:t xml:space="preserve">  -  Cantidad de caracteres: </w:t>
    </w:r>
    <w:fldSimple w:instr=" NUMCHARS  \* MERGEFORMAT ">
      <w:r w:rsidR="007133BE" w:rsidRPr="007133BE">
        <w:rPr>
          <w:rFonts w:asciiTheme="majorHAnsi" w:hAnsiTheme="majorHAnsi"/>
          <w:noProof/>
          <w:color w:val="333333"/>
          <w:sz w:val="20"/>
        </w:rPr>
        <w:t>5441</w:t>
      </w:r>
    </w:fldSimple>
    <w:r w:rsidRPr="00CE5803">
      <w:rPr>
        <w:rFonts w:asciiTheme="majorHAnsi" w:hAnsiTheme="majorHAnsi"/>
        <w:color w:val="333333"/>
        <w:sz w:val="20"/>
      </w:rPr>
      <w:t xml:space="preserve"> - Cantidad de palabras: </w:t>
    </w:r>
    <w:fldSimple w:instr=" NUMWORDS  \* MERGEFORMAT ">
      <w:r w:rsidR="007133BE" w:rsidRPr="007133BE">
        <w:rPr>
          <w:rFonts w:asciiTheme="majorHAnsi" w:hAnsiTheme="majorHAnsi"/>
          <w:noProof/>
          <w:color w:val="333333"/>
          <w:sz w:val="20"/>
        </w:rPr>
        <w:t>1090</w:t>
      </w:r>
    </w:fldSimple>
  </w:p>
  <w:p w:rsidR="00601A75" w:rsidRPr="00CE5803" w:rsidRDefault="00601A75" w:rsidP="00CE5803">
    <w:pPr>
      <w:pStyle w:val="Piedepgina"/>
      <w:tabs>
        <w:tab w:val="left" w:pos="3565"/>
      </w:tabs>
      <w:jc w:val="center"/>
      <w:rPr>
        <w:rStyle w:val="Nmerodepgina"/>
        <w:rFonts w:asciiTheme="majorHAnsi" w:hAnsiTheme="majorHAnsi"/>
        <w:color w:val="333333"/>
        <w:sz w:val="20"/>
      </w:rPr>
    </w:pPr>
    <w:r w:rsidRPr="00CE5803">
      <w:rPr>
        <w:rFonts w:asciiTheme="majorHAnsi" w:hAnsiTheme="majorHAnsi"/>
        <w:color w:val="333333"/>
        <w:sz w:val="20"/>
      </w:rPr>
      <w:t xml:space="preserve">Pág. </w:t>
    </w:r>
    <w:r w:rsidR="002115A0" w:rsidRPr="00CE5803">
      <w:rPr>
        <w:rStyle w:val="Nmerodepgina"/>
        <w:rFonts w:asciiTheme="majorHAnsi" w:hAnsiTheme="majorHAnsi"/>
        <w:color w:val="333333"/>
        <w:sz w:val="20"/>
      </w:rPr>
      <w:fldChar w:fldCharType="begin"/>
    </w:r>
    <w:r w:rsidRPr="00CE5803">
      <w:rPr>
        <w:rStyle w:val="Nmerodepgina"/>
        <w:rFonts w:asciiTheme="majorHAnsi" w:hAnsiTheme="majorHAnsi"/>
        <w:color w:val="333333"/>
        <w:sz w:val="20"/>
      </w:rPr>
      <w:instrText xml:space="preserve"> PAGE </w:instrText>
    </w:r>
    <w:r w:rsidR="002115A0" w:rsidRPr="00CE5803">
      <w:rPr>
        <w:rStyle w:val="Nmerodepgina"/>
        <w:rFonts w:asciiTheme="majorHAnsi" w:hAnsiTheme="majorHAnsi"/>
        <w:color w:val="333333"/>
        <w:sz w:val="20"/>
      </w:rPr>
      <w:fldChar w:fldCharType="separate"/>
    </w:r>
    <w:r w:rsidR="007133BE">
      <w:rPr>
        <w:rStyle w:val="Nmerodepgina"/>
        <w:rFonts w:asciiTheme="majorHAnsi" w:hAnsiTheme="majorHAnsi"/>
        <w:noProof/>
        <w:color w:val="333333"/>
        <w:sz w:val="20"/>
      </w:rPr>
      <w:t>1</w:t>
    </w:r>
    <w:r w:rsidR="002115A0" w:rsidRPr="00CE5803">
      <w:rPr>
        <w:rStyle w:val="Nmerodepgina"/>
        <w:rFonts w:asciiTheme="majorHAnsi" w:hAnsiTheme="majorHAnsi"/>
        <w:color w:val="333333"/>
        <w:sz w:val="20"/>
      </w:rPr>
      <w:fldChar w:fldCharType="end"/>
    </w:r>
    <w:r w:rsidRPr="00CE5803">
      <w:rPr>
        <w:rStyle w:val="Nmerodepgina"/>
        <w:rFonts w:asciiTheme="majorHAnsi" w:hAnsiTheme="majorHAnsi"/>
        <w:color w:val="333333"/>
        <w:sz w:val="20"/>
      </w:rPr>
      <w:t>/</w:t>
    </w:r>
    <w:fldSimple w:instr=" NUMPAGES  \* MERGEFORMAT ">
      <w:r w:rsidR="007133BE" w:rsidRPr="007133BE">
        <w:rPr>
          <w:rStyle w:val="Nmerodepgina"/>
          <w:noProof/>
          <w:color w:val="333333"/>
        </w:rPr>
        <w:t>3</w:t>
      </w:r>
    </w:fldSimple>
  </w:p>
  <w:p w:rsidR="00601A75" w:rsidRPr="00CE5803" w:rsidRDefault="00601A75" w:rsidP="00CE5803">
    <w:pPr>
      <w:pStyle w:val="Piedepgina"/>
      <w:jc w:val="center"/>
      <w:rPr>
        <w:rFonts w:asciiTheme="majorHAnsi" w:hAnsiTheme="majorHAnsi"/>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76DEC" w:rsidRDefault="00D76DEC">
      <w:r>
        <w:separator/>
      </w:r>
    </w:p>
  </w:footnote>
  <w:footnote w:type="continuationSeparator" w:id="1">
    <w:p w:rsidR="00D76DEC" w:rsidRDefault="00D76DE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Default="00EA576D" w:rsidP="0033168A">
    <w:pPr>
      <w:pStyle w:val="Encabezado"/>
      <w:jc w:val="center"/>
      <w:rPr>
        <w:i/>
        <w:color w:val="000000"/>
        <w:shd w:val="clear" w:color="auto" w:fill="FFFFFF"/>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9218"/>
  </w:hdrShapeDefaults>
  <w:footnotePr>
    <w:footnote w:id="0"/>
    <w:footnote w:id="1"/>
  </w:footnotePr>
  <w:endnotePr>
    <w:endnote w:id="0"/>
    <w:endnote w:id="1"/>
  </w:endnotePr>
  <w:compat/>
  <w:rsids>
    <w:rsidRoot w:val="00EA576D"/>
    <w:rsid w:val="00001988"/>
    <w:rsid w:val="000031F8"/>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0CF3"/>
    <w:rsid w:val="001B770D"/>
    <w:rsid w:val="001C18CC"/>
    <w:rsid w:val="001D480C"/>
    <w:rsid w:val="001E5394"/>
    <w:rsid w:val="001F2924"/>
    <w:rsid w:val="001F3AFD"/>
    <w:rsid w:val="00205802"/>
    <w:rsid w:val="00205DAD"/>
    <w:rsid w:val="002115A0"/>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A7311"/>
    <w:rsid w:val="003B471C"/>
    <w:rsid w:val="003D10AB"/>
    <w:rsid w:val="003D4000"/>
    <w:rsid w:val="003F1EFD"/>
    <w:rsid w:val="003F4249"/>
    <w:rsid w:val="00401C75"/>
    <w:rsid w:val="0040761B"/>
    <w:rsid w:val="00422C3F"/>
    <w:rsid w:val="004354AC"/>
    <w:rsid w:val="00446E1A"/>
    <w:rsid w:val="004847CA"/>
    <w:rsid w:val="004B7714"/>
    <w:rsid w:val="004D2D62"/>
    <w:rsid w:val="004D30D5"/>
    <w:rsid w:val="004D438B"/>
    <w:rsid w:val="004E235F"/>
    <w:rsid w:val="0051012E"/>
    <w:rsid w:val="005142E6"/>
    <w:rsid w:val="00522C71"/>
    <w:rsid w:val="00534552"/>
    <w:rsid w:val="00540D49"/>
    <w:rsid w:val="00540E5C"/>
    <w:rsid w:val="00550A79"/>
    <w:rsid w:val="00551DE0"/>
    <w:rsid w:val="0057409D"/>
    <w:rsid w:val="005769D4"/>
    <w:rsid w:val="00584777"/>
    <w:rsid w:val="00587242"/>
    <w:rsid w:val="005A1232"/>
    <w:rsid w:val="005A32ED"/>
    <w:rsid w:val="005A3AA1"/>
    <w:rsid w:val="005A4D27"/>
    <w:rsid w:val="005B0FAF"/>
    <w:rsid w:val="005B14CE"/>
    <w:rsid w:val="005B6538"/>
    <w:rsid w:val="005C37AB"/>
    <w:rsid w:val="005F35E2"/>
    <w:rsid w:val="00601A75"/>
    <w:rsid w:val="00606D7C"/>
    <w:rsid w:val="00616F70"/>
    <w:rsid w:val="00622DE5"/>
    <w:rsid w:val="00636BE0"/>
    <w:rsid w:val="0064363E"/>
    <w:rsid w:val="0065711B"/>
    <w:rsid w:val="006811D6"/>
    <w:rsid w:val="00690392"/>
    <w:rsid w:val="006916BB"/>
    <w:rsid w:val="00697F98"/>
    <w:rsid w:val="006A6925"/>
    <w:rsid w:val="006C326A"/>
    <w:rsid w:val="006C40E9"/>
    <w:rsid w:val="006D3303"/>
    <w:rsid w:val="006D5CB7"/>
    <w:rsid w:val="006E3675"/>
    <w:rsid w:val="00705135"/>
    <w:rsid w:val="00706B8E"/>
    <w:rsid w:val="007133BE"/>
    <w:rsid w:val="00715AF3"/>
    <w:rsid w:val="00720C1E"/>
    <w:rsid w:val="00734F30"/>
    <w:rsid w:val="007410E7"/>
    <w:rsid w:val="00741AE3"/>
    <w:rsid w:val="007420D8"/>
    <w:rsid w:val="00771B54"/>
    <w:rsid w:val="007728C1"/>
    <w:rsid w:val="00777916"/>
    <w:rsid w:val="00780167"/>
    <w:rsid w:val="00795E19"/>
    <w:rsid w:val="007B0FD7"/>
    <w:rsid w:val="007B3715"/>
    <w:rsid w:val="007B6DE7"/>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142D"/>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D3069"/>
    <w:rsid w:val="00CE163F"/>
    <w:rsid w:val="00CE5803"/>
    <w:rsid w:val="00D21279"/>
    <w:rsid w:val="00D23C57"/>
    <w:rsid w:val="00D43AA2"/>
    <w:rsid w:val="00D518DB"/>
    <w:rsid w:val="00D55ECB"/>
    <w:rsid w:val="00D67721"/>
    <w:rsid w:val="00D758CE"/>
    <w:rsid w:val="00D76A86"/>
    <w:rsid w:val="00D76DEC"/>
    <w:rsid w:val="00D927D4"/>
    <w:rsid w:val="00DD2795"/>
    <w:rsid w:val="00DD4DE2"/>
    <w:rsid w:val="00DD514E"/>
    <w:rsid w:val="00DD520D"/>
    <w:rsid w:val="00DE5902"/>
    <w:rsid w:val="00DF0164"/>
    <w:rsid w:val="00DF1D48"/>
    <w:rsid w:val="00DF54AA"/>
    <w:rsid w:val="00E07D33"/>
    <w:rsid w:val="00E12909"/>
    <w:rsid w:val="00E12DDE"/>
    <w:rsid w:val="00E143B6"/>
    <w:rsid w:val="00E30CFF"/>
    <w:rsid w:val="00E55186"/>
    <w:rsid w:val="00E615F1"/>
    <w:rsid w:val="00E63146"/>
    <w:rsid w:val="00E64A1D"/>
    <w:rsid w:val="00E74920"/>
    <w:rsid w:val="00E81EE5"/>
    <w:rsid w:val="00E91F21"/>
    <w:rsid w:val="00EA576D"/>
    <w:rsid w:val="00EB6956"/>
    <w:rsid w:val="00EF0D22"/>
    <w:rsid w:val="00F13C69"/>
    <w:rsid w:val="00F41DF6"/>
    <w:rsid w:val="00F52245"/>
    <w:rsid w:val="00F5569F"/>
    <w:rsid w:val="00F60308"/>
    <w:rsid w:val="00F640D0"/>
    <w:rsid w:val="00F75389"/>
    <w:rsid w:val="00F903E8"/>
    <w:rsid w:val="00FA0C8C"/>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5902"/>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741AE3"/>
    <w:pPr>
      <w:ind w:left="3686"/>
    </w:pPr>
  </w:style>
  <w:style w:type="paragraph" w:styleId="Encabezado">
    <w:name w:val="header"/>
    <w:basedOn w:val="Normal"/>
    <w:link w:val="EncabezadoCar"/>
    <w:uiPriority w:val="99"/>
    <w:rsid w:val="00741AE3"/>
    <w:pPr>
      <w:tabs>
        <w:tab w:val="center" w:pos="4419"/>
        <w:tab w:val="right" w:pos="8838"/>
      </w:tabs>
    </w:pPr>
  </w:style>
  <w:style w:type="paragraph" w:styleId="Piedepgina">
    <w:name w:val="footer"/>
    <w:basedOn w:val="Normal"/>
    <w:rsid w:val="00741AE3"/>
    <w:pPr>
      <w:tabs>
        <w:tab w:val="center" w:pos="4419"/>
        <w:tab w:val="right" w:pos="8838"/>
      </w:tabs>
    </w:pPr>
  </w:style>
  <w:style w:type="character" w:styleId="Nmerodepgina">
    <w:name w:val="page number"/>
    <w:basedOn w:val="Fuentedeprrafopredeter"/>
    <w:rsid w:val="00741AE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DE5902"/>
    <w:rPr>
      <w:rFonts w:ascii="Tahoma" w:hAnsi="Tahoma" w:cs="Tahoma"/>
      <w:sz w:val="16"/>
      <w:szCs w:val="16"/>
    </w:rPr>
  </w:style>
  <w:style w:type="character" w:customStyle="1" w:styleId="TextodegloboCar">
    <w:name w:val="Texto de globo Car"/>
    <w:basedOn w:val="Fuentedeprrafopredeter"/>
    <w:link w:val="Textodeglobo"/>
    <w:uiPriority w:val="99"/>
    <w:semiHidden/>
    <w:rsid w:val="00DE5902"/>
    <w:rPr>
      <w:rFonts w:ascii="Tahoma" w:hAnsi="Tahoma" w:cs="Tahoma"/>
      <w:sz w:val="16"/>
      <w:szCs w:val="16"/>
      <w:lang w:val="es-ES_tradnl" w:eastAsia="es-E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edelfino\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327D50C-DCB4-49DE-A062-FC28C4C9F2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1</TotalTime>
  <Pages>3</Pages>
  <Words>1090</Words>
  <Characters>5441</Characters>
  <Application>Microsoft Office Word</Application>
  <DocSecurity>0</DocSecurity>
  <Lines>104</Lines>
  <Paragraphs>21</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6510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Fernando Delfino Polo</dc:creator>
  <cp:lastModifiedBy>Fernando Delfino Polo</cp:lastModifiedBy>
  <cp:revision>5</cp:revision>
  <cp:lastPrinted>2022-04-25T18:06:00Z</cp:lastPrinted>
  <dcterms:created xsi:type="dcterms:W3CDTF">2022-04-26T14:55:00Z</dcterms:created>
  <dcterms:modified xsi:type="dcterms:W3CDTF">2022-04-26T15:57:00Z</dcterms:modified>
</cp:coreProperties>
</file>