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B15" w:rsidRPr="003E7977" w:rsidRDefault="00C03B15" w:rsidP="003E7977">
      <w:pPr>
        <w:rPr>
          <w:szCs w:val="24"/>
          <w:lang w:val="es-MX"/>
        </w:rPr>
      </w:pPr>
      <w:bookmarkStart w:id="0" w:name="_GoBack"/>
      <w:bookmarkEnd w:id="0"/>
    </w:p>
    <w:p w:rsidR="00C03B15" w:rsidRPr="003E7977" w:rsidRDefault="00C03B15" w:rsidP="003E7977">
      <w:pPr>
        <w:rPr>
          <w:szCs w:val="24"/>
          <w:lang w:val="es-MX"/>
        </w:rPr>
      </w:pPr>
    </w:p>
    <w:p w:rsidR="00C03B15" w:rsidRPr="003E7977" w:rsidRDefault="00C03B15" w:rsidP="003E7977">
      <w:pPr>
        <w:rPr>
          <w:szCs w:val="24"/>
          <w:lang w:val="es-MX"/>
        </w:rPr>
      </w:pPr>
      <w:r w:rsidRPr="003E7977">
        <w:rPr>
          <w:szCs w:val="24"/>
          <w:lang w:val="es-MX"/>
        </w:rPr>
        <w:t>Legislatura de la Ciudad Autónoma de Buenos Aires</w:t>
      </w:r>
    </w:p>
    <w:p w:rsidR="00C03B15" w:rsidRPr="003E7977" w:rsidRDefault="00C03B15" w:rsidP="003E7977">
      <w:pPr>
        <w:rPr>
          <w:szCs w:val="24"/>
          <w:lang w:val="es-MX"/>
        </w:rPr>
      </w:pPr>
    </w:p>
    <w:p w:rsidR="003B19B7" w:rsidRPr="003E7977" w:rsidRDefault="003B19B7" w:rsidP="003E7977">
      <w:pPr>
        <w:rPr>
          <w:szCs w:val="24"/>
          <w:lang w:val="es-MX"/>
        </w:rPr>
      </w:pPr>
    </w:p>
    <w:p w:rsidR="003B19B7" w:rsidRPr="003E7977" w:rsidRDefault="003B19B7" w:rsidP="003E7977">
      <w:pPr>
        <w:rPr>
          <w:szCs w:val="24"/>
          <w:lang w:val="es-MX"/>
        </w:rPr>
      </w:pPr>
    </w:p>
    <w:p w:rsidR="00C03B15" w:rsidRPr="003E7977" w:rsidRDefault="00C03B15" w:rsidP="003E7977">
      <w:pPr>
        <w:rPr>
          <w:szCs w:val="24"/>
          <w:lang w:val="es-MX"/>
        </w:rPr>
      </w:pPr>
      <w:r w:rsidRPr="003E7977">
        <w:rPr>
          <w:szCs w:val="24"/>
          <w:lang w:val="es-MX"/>
        </w:rPr>
        <w:t>Visto:</w:t>
      </w:r>
    </w:p>
    <w:p w:rsidR="00C03B15" w:rsidRPr="003E7977" w:rsidRDefault="00C03B15" w:rsidP="003E7977">
      <w:pPr>
        <w:rPr>
          <w:szCs w:val="24"/>
          <w:lang w:val="es-MX"/>
        </w:rPr>
      </w:pPr>
    </w:p>
    <w:p w:rsidR="00C03B15" w:rsidRPr="003E7977" w:rsidRDefault="00C03B15" w:rsidP="003E7977">
      <w:pPr>
        <w:rPr>
          <w:szCs w:val="24"/>
          <w:lang w:val="es-MX"/>
        </w:rPr>
      </w:pPr>
      <w:r w:rsidRPr="003E7977">
        <w:rPr>
          <w:szCs w:val="24"/>
          <w:lang w:val="es-MX"/>
        </w:rPr>
        <w:tab/>
        <w:t>Que el Expediente N° 165-D-2022, Proyecto de Ley, de Autoría de</w:t>
      </w:r>
      <w:r w:rsidR="003B19B7" w:rsidRPr="003E7977">
        <w:rPr>
          <w:szCs w:val="24"/>
          <w:lang w:val="es-MX"/>
        </w:rPr>
        <w:t xml:space="preserve"> </w:t>
      </w:r>
      <w:r w:rsidRPr="003E7977">
        <w:rPr>
          <w:szCs w:val="24"/>
          <w:lang w:val="es-MX"/>
        </w:rPr>
        <w:t>l</w:t>
      </w:r>
      <w:r w:rsidR="003B19B7" w:rsidRPr="003E7977">
        <w:rPr>
          <w:szCs w:val="24"/>
          <w:lang w:val="es-MX"/>
        </w:rPr>
        <w:t>a Diputada,</w:t>
      </w:r>
      <w:r w:rsidRPr="003E7977">
        <w:rPr>
          <w:szCs w:val="24"/>
          <w:lang w:val="es-MX"/>
        </w:rPr>
        <w:t xml:space="preserve"> Ana María Bou Pérez</w:t>
      </w:r>
      <w:r w:rsidRPr="003E7977">
        <w:rPr>
          <w:szCs w:val="24"/>
        </w:rPr>
        <w:t>, y en forma conjunta con l</w:t>
      </w:r>
      <w:r w:rsidR="00090EDD" w:rsidRPr="003E7977">
        <w:rPr>
          <w:szCs w:val="24"/>
        </w:rPr>
        <w:t>as Diputadas</w:t>
      </w:r>
      <w:r w:rsidRPr="003E7977">
        <w:rPr>
          <w:szCs w:val="24"/>
        </w:rPr>
        <w:t xml:space="preserve"> María del Sol </w:t>
      </w:r>
      <w:r w:rsidRPr="003E7977">
        <w:rPr>
          <w:szCs w:val="24"/>
          <w:lang w:val="es-MX"/>
        </w:rPr>
        <w:t xml:space="preserve">Méndez, Paola Vanesa Michielotto y Gimena Villafruela, </w:t>
      </w:r>
      <w:r w:rsidRPr="003E7977">
        <w:rPr>
          <w:szCs w:val="24"/>
        </w:rPr>
        <w:t xml:space="preserve">por el que solicitan que se </w:t>
      </w:r>
      <w:r w:rsidRPr="003E7977">
        <w:rPr>
          <w:szCs w:val="24"/>
          <w:lang w:val="es-MX"/>
        </w:rPr>
        <w:t>Instituya el 21 de junio de cada año como el "Día de la Concientización sobre el Uso de Antimicrobianos", y;</w:t>
      </w:r>
    </w:p>
    <w:p w:rsidR="00C03B15" w:rsidRPr="003E7977" w:rsidRDefault="00C03B15" w:rsidP="003E7977">
      <w:pPr>
        <w:rPr>
          <w:szCs w:val="24"/>
          <w:lang w:val="es-MX"/>
        </w:rPr>
      </w:pPr>
    </w:p>
    <w:p w:rsidR="00C03B15" w:rsidRPr="003E7977" w:rsidRDefault="00C03B15" w:rsidP="003E7977">
      <w:pPr>
        <w:rPr>
          <w:szCs w:val="24"/>
          <w:lang w:val="es-MX"/>
        </w:rPr>
      </w:pPr>
      <w:r w:rsidRPr="003E7977">
        <w:rPr>
          <w:szCs w:val="24"/>
          <w:lang w:val="es-MX"/>
        </w:rPr>
        <w:tab/>
      </w:r>
    </w:p>
    <w:p w:rsidR="003B19B7" w:rsidRPr="003E7977" w:rsidRDefault="003B19B7" w:rsidP="003E7977">
      <w:pPr>
        <w:rPr>
          <w:szCs w:val="24"/>
          <w:lang w:val="es-MX"/>
        </w:rPr>
      </w:pPr>
    </w:p>
    <w:p w:rsidR="00C03B15" w:rsidRPr="003E7977" w:rsidRDefault="00C03B15" w:rsidP="003E7977">
      <w:pPr>
        <w:rPr>
          <w:szCs w:val="24"/>
          <w:lang w:val="es-MX"/>
        </w:rPr>
      </w:pPr>
      <w:r w:rsidRPr="003E7977">
        <w:rPr>
          <w:szCs w:val="24"/>
          <w:lang w:val="es-MX"/>
        </w:rPr>
        <w:t>Considerando:</w:t>
      </w:r>
    </w:p>
    <w:p w:rsidR="00C03B15" w:rsidRPr="003E7977" w:rsidRDefault="00C03B15" w:rsidP="003E7977">
      <w:pPr>
        <w:rPr>
          <w:szCs w:val="24"/>
          <w:lang w:val="es-MX"/>
        </w:rPr>
      </w:pPr>
    </w:p>
    <w:p w:rsidR="003B19B7" w:rsidRPr="003E7977" w:rsidRDefault="003B19B7" w:rsidP="003E7977">
      <w:pPr>
        <w:rPr>
          <w:szCs w:val="24"/>
          <w:lang w:val="es-MX"/>
        </w:rPr>
      </w:pPr>
    </w:p>
    <w:p w:rsidR="0016569A" w:rsidRPr="003E7977" w:rsidRDefault="00C03B15" w:rsidP="003E7977">
      <w:pPr>
        <w:spacing w:after="240"/>
        <w:rPr>
          <w:szCs w:val="24"/>
          <w:lang w:val="es-MX"/>
        </w:rPr>
      </w:pPr>
      <w:r w:rsidRPr="003E7977">
        <w:rPr>
          <w:szCs w:val="24"/>
          <w:lang w:val="es-MX"/>
        </w:rPr>
        <w:tab/>
        <w:t xml:space="preserve">Que </w:t>
      </w:r>
      <w:r w:rsidR="005E7D9A" w:rsidRPr="003E7977">
        <w:rPr>
          <w:szCs w:val="24"/>
          <w:lang w:val="es-MX"/>
        </w:rPr>
        <w:t>el</w:t>
      </w:r>
      <w:r w:rsidR="0016569A" w:rsidRPr="003E7977">
        <w:rPr>
          <w:szCs w:val="24"/>
          <w:lang w:val="es-MX"/>
        </w:rPr>
        <w:t xml:space="preserve"> presente proyecto de ley tiene como fin instituir en el ámbito de nuestra ciudad un día particular que concientiza sobre el uso de los antimicrobianos con el objetivo de sensibilizar a la población sobre el uso racional y responsable de los mismos y en particular de los antibióticos, y promover la realización de políticas y acciones que insten el reconocimiento del problema y su prevención</w:t>
      </w:r>
      <w:r w:rsidR="00C139ED" w:rsidRPr="003E7977">
        <w:rPr>
          <w:szCs w:val="24"/>
          <w:lang w:val="es-MX"/>
        </w:rPr>
        <w:t>;</w:t>
      </w:r>
    </w:p>
    <w:p w:rsidR="0016569A" w:rsidRPr="003E7977" w:rsidRDefault="00D33C80" w:rsidP="003E7977">
      <w:pPr>
        <w:spacing w:after="240"/>
        <w:ind w:firstLine="709"/>
        <w:rPr>
          <w:b/>
          <w:szCs w:val="24"/>
          <w:lang w:val="es-ES"/>
        </w:rPr>
      </w:pPr>
      <w:r w:rsidRPr="003E7977">
        <w:rPr>
          <w:szCs w:val="24"/>
          <w:lang w:val="es-MX"/>
        </w:rPr>
        <w:t xml:space="preserve">Que </w:t>
      </w:r>
      <w:r w:rsidR="00C139ED" w:rsidRPr="003E7977">
        <w:rPr>
          <w:szCs w:val="24"/>
          <w:lang w:val="es-MX"/>
        </w:rPr>
        <w:t>asimismo</w:t>
      </w:r>
      <w:r w:rsidR="0016569A" w:rsidRPr="003E7977">
        <w:rPr>
          <w:szCs w:val="24"/>
          <w:lang w:val="es-MX"/>
        </w:rPr>
        <w:t xml:space="preserve">, como lo hemos declarado en 2021 por este cuerpo legislativo, por el artículo 3º adherimos a la Conmemoración de la Semana </w:t>
      </w:r>
      <w:r w:rsidR="0016569A" w:rsidRPr="003E7977">
        <w:rPr>
          <w:szCs w:val="24"/>
          <w:lang w:val="es-ES"/>
        </w:rPr>
        <w:t xml:space="preserve">Mundial de la Concientización sobre el Uso de Antimicrobianos que se celebra desde el 18 al 24 de noviembre de cada año, </w:t>
      </w:r>
      <w:r w:rsidR="0016569A" w:rsidRPr="003E7977">
        <w:rPr>
          <w:szCs w:val="24"/>
        </w:rPr>
        <w:t xml:space="preserve">desde el año 2015 refiriendo a los antibióticos y a partir del 2020 ampliada a todos los antimicrobianos. Es una campaña mundial instaurada por OMS y OPS que tiene por objeto aumentar la concientización sobre la resistencia a los antimicrobianos (RAM) y fomentar prácticas óptimas entre la población general, los trabajadores sanitarios incluidos los de la sanidad animal y agrícola y los encargados y responsables de formular políticas para ralentizar la aparición, progresión y propagación de las </w:t>
      </w:r>
      <w:r w:rsidR="00C139ED" w:rsidRPr="003E7977">
        <w:rPr>
          <w:szCs w:val="24"/>
        </w:rPr>
        <w:t>infecciones farmacorresistentes;</w:t>
      </w:r>
    </w:p>
    <w:p w:rsidR="0016569A" w:rsidRPr="003E7977" w:rsidRDefault="00C139ED" w:rsidP="003E7977">
      <w:pPr>
        <w:spacing w:after="240"/>
        <w:rPr>
          <w:szCs w:val="24"/>
        </w:rPr>
      </w:pPr>
      <w:r w:rsidRPr="003E7977">
        <w:rPr>
          <w:szCs w:val="24"/>
          <w:lang w:val="es-MX"/>
        </w:rPr>
        <w:tab/>
      </w:r>
      <w:r w:rsidR="00D33C80" w:rsidRPr="003E7977">
        <w:rPr>
          <w:szCs w:val="24"/>
          <w:lang w:val="es-MX"/>
        </w:rPr>
        <w:t xml:space="preserve">Que </w:t>
      </w:r>
      <w:r w:rsidR="003B19B7" w:rsidRPr="003E7977">
        <w:rPr>
          <w:szCs w:val="24"/>
          <w:lang w:val="es-MX"/>
        </w:rPr>
        <w:t>ello</w:t>
      </w:r>
      <w:r w:rsidR="0016569A" w:rsidRPr="003E7977">
        <w:rPr>
          <w:szCs w:val="24"/>
        </w:rPr>
        <w:t xml:space="preserve"> refleja la mayor envergadura de la conmemoración, que se refiere y abarca a todos los antimicrobianos: los antibióticos, los antifúngicos, los antiparasitarios y los antivíricos</w:t>
      </w:r>
      <w:r w:rsidRPr="003E7977">
        <w:rPr>
          <w:szCs w:val="24"/>
        </w:rPr>
        <w:t>;</w:t>
      </w:r>
      <w:r w:rsidR="0016569A" w:rsidRPr="003E7977">
        <w:rPr>
          <w:szCs w:val="24"/>
        </w:rPr>
        <w:t xml:space="preserve"> </w:t>
      </w:r>
    </w:p>
    <w:p w:rsidR="0016569A" w:rsidRPr="003E7977" w:rsidRDefault="00C139ED" w:rsidP="003E7977">
      <w:pPr>
        <w:spacing w:after="240"/>
        <w:rPr>
          <w:szCs w:val="24"/>
          <w:lang w:val="es-ES"/>
        </w:rPr>
      </w:pPr>
      <w:r w:rsidRPr="003E7977">
        <w:rPr>
          <w:szCs w:val="24"/>
          <w:lang w:val="es-MX"/>
        </w:rPr>
        <w:tab/>
      </w:r>
      <w:r w:rsidR="00D33C80" w:rsidRPr="003E7977">
        <w:rPr>
          <w:szCs w:val="24"/>
          <w:lang w:val="es-MX"/>
        </w:rPr>
        <w:t xml:space="preserve">Que </w:t>
      </w:r>
      <w:r w:rsidRPr="003E7977">
        <w:rPr>
          <w:szCs w:val="24"/>
          <w:lang w:val="es-MX"/>
        </w:rPr>
        <w:t>l</w:t>
      </w:r>
      <w:r w:rsidR="0016569A" w:rsidRPr="003E7977">
        <w:rPr>
          <w:szCs w:val="24"/>
          <w:lang w:val="es-ES"/>
        </w:rPr>
        <w:t>os antimicrobianos –en particular los antibióticos, los antivíricos, los antifúngicos y los antiparasitarios– son medicamentos que se utilizan para prevenir y tratar infecciones en los seres humanos, los animales y las plantas</w:t>
      </w:r>
      <w:r w:rsidRPr="003E7977">
        <w:rPr>
          <w:szCs w:val="24"/>
          <w:lang w:val="es-ES"/>
        </w:rPr>
        <w:t>;</w:t>
      </w:r>
    </w:p>
    <w:p w:rsidR="0016569A" w:rsidRPr="003E7977" w:rsidRDefault="00C139ED" w:rsidP="003E7977">
      <w:pPr>
        <w:spacing w:after="240"/>
        <w:rPr>
          <w:szCs w:val="24"/>
          <w:lang w:val="es-ES"/>
        </w:rPr>
      </w:pPr>
      <w:r w:rsidRPr="003E7977">
        <w:rPr>
          <w:szCs w:val="24"/>
          <w:lang w:val="es-MX"/>
        </w:rPr>
        <w:tab/>
      </w:r>
      <w:r w:rsidR="00D33C80" w:rsidRPr="003E7977">
        <w:rPr>
          <w:szCs w:val="24"/>
          <w:lang w:val="es-MX"/>
        </w:rPr>
        <w:t xml:space="preserve">Que </w:t>
      </w:r>
      <w:r w:rsidRPr="003E7977">
        <w:rPr>
          <w:szCs w:val="24"/>
          <w:lang w:val="es-MX"/>
        </w:rPr>
        <w:t>l</w:t>
      </w:r>
      <w:r w:rsidR="0016569A" w:rsidRPr="003E7977">
        <w:rPr>
          <w:szCs w:val="24"/>
          <w:lang w:val="es-ES"/>
        </w:rPr>
        <w:t>a resistencia a los antimicrobianos (RAM) surge cuando las bacterias, los virus, los hongos y los parásitos cambian a lo largo del tiempo y dejan de responder a los medicamentos, lo que hace más difícil el tratamiento de las infecciones e incrementa el riesgo de propagación de enfermedades, de aparición de formas gra</w:t>
      </w:r>
      <w:r w:rsidRPr="003E7977">
        <w:rPr>
          <w:szCs w:val="24"/>
          <w:lang w:val="es-ES"/>
        </w:rPr>
        <w:t>ves de enfermedades y de muerte;</w:t>
      </w:r>
    </w:p>
    <w:p w:rsidR="0016569A" w:rsidRPr="003E7977" w:rsidRDefault="00C139ED" w:rsidP="003E7977">
      <w:pPr>
        <w:spacing w:after="240"/>
        <w:rPr>
          <w:szCs w:val="24"/>
          <w:lang w:val="es-ES"/>
        </w:rPr>
      </w:pPr>
      <w:r w:rsidRPr="003E7977">
        <w:rPr>
          <w:szCs w:val="24"/>
          <w:lang w:val="es-MX"/>
        </w:rPr>
        <w:tab/>
      </w:r>
      <w:r w:rsidR="00D33C80" w:rsidRPr="003E7977">
        <w:rPr>
          <w:szCs w:val="24"/>
          <w:lang w:val="es-MX"/>
        </w:rPr>
        <w:t xml:space="preserve">Que </w:t>
      </w:r>
      <w:r w:rsidR="00E80907" w:rsidRPr="003E7977">
        <w:rPr>
          <w:szCs w:val="24"/>
          <w:lang w:val="es-MX"/>
        </w:rPr>
        <w:t>como</w:t>
      </w:r>
      <w:r w:rsidR="0016569A" w:rsidRPr="003E7977">
        <w:rPr>
          <w:szCs w:val="24"/>
          <w:lang w:val="es-ES"/>
        </w:rPr>
        <w:t xml:space="preserve"> consecuencia de la farmacorresistencia, los antibióticos y otros medicamentos antimicrobianos se vuelven ineficaces, por lo que las infecciones son cada vez más difíciles o imposibles de tratar</w:t>
      </w:r>
      <w:r w:rsidR="00E80907" w:rsidRPr="003E7977">
        <w:rPr>
          <w:szCs w:val="24"/>
          <w:lang w:val="es-ES"/>
        </w:rPr>
        <w:t>;</w:t>
      </w:r>
    </w:p>
    <w:p w:rsidR="00E80907" w:rsidRPr="003E7977" w:rsidRDefault="00E80907" w:rsidP="003E7977">
      <w:pPr>
        <w:spacing w:after="240"/>
        <w:rPr>
          <w:szCs w:val="24"/>
          <w:lang w:val="es-ES"/>
        </w:rPr>
      </w:pPr>
      <w:r w:rsidRPr="003E7977">
        <w:rPr>
          <w:szCs w:val="24"/>
          <w:lang w:val="es-MX"/>
        </w:rPr>
        <w:tab/>
      </w:r>
      <w:r w:rsidR="00D33C80" w:rsidRPr="003E7977">
        <w:rPr>
          <w:szCs w:val="24"/>
          <w:lang w:val="es-MX"/>
        </w:rPr>
        <w:t xml:space="preserve">Que </w:t>
      </w:r>
      <w:r w:rsidRPr="003E7977">
        <w:rPr>
          <w:szCs w:val="24"/>
          <w:lang w:val="es-MX"/>
        </w:rPr>
        <w:t>el</w:t>
      </w:r>
      <w:r w:rsidR="0016569A" w:rsidRPr="003E7977">
        <w:rPr>
          <w:szCs w:val="24"/>
          <w:lang w:val="es-ES"/>
        </w:rPr>
        <w:t xml:space="preserve"> motivo por el cual es preocupación a nivel mundial la resistencia a los antimicrobianos, se debe a que la aparición y propagación de patógenos farmacorresistentes que han adquirido nuevos mecanismos de resistencia, conduce a la </w:t>
      </w:r>
      <w:r w:rsidR="0016569A" w:rsidRPr="003E7977">
        <w:rPr>
          <w:szCs w:val="24"/>
          <w:lang w:val="es-ES"/>
        </w:rPr>
        <w:lastRenderedPageBreak/>
        <w:t>resistencia a los antimicrobianos, que siguen comprometiendo la capacidad para tratar infecciones comunes. Es especialmente alarmante la rápida propagación mundial de bacterias multirresistentes y panresistentes (denominadas también “superbacterias”) que provocan infecciones que no pueden tratarse con los medicamentos antimicrobianos al uso, como los antibióticos</w:t>
      </w:r>
      <w:r w:rsidRPr="003E7977">
        <w:rPr>
          <w:szCs w:val="24"/>
          <w:lang w:val="es-ES"/>
        </w:rPr>
        <w:t>;</w:t>
      </w:r>
    </w:p>
    <w:p w:rsidR="0016569A" w:rsidRPr="003E7977" w:rsidRDefault="00E80907" w:rsidP="003E7977">
      <w:pPr>
        <w:spacing w:after="240"/>
        <w:rPr>
          <w:szCs w:val="24"/>
          <w:shd w:val="clear" w:color="auto" w:fill="FFFFFF"/>
        </w:rPr>
      </w:pPr>
      <w:r w:rsidRPr="003E7977">
        <w:rPr>
          <w:szCs w:val="24"/>
          <w:lang w:val="es-ES"/>
        </w:rPr>
        <w:tab/>
      </w:r>
      <w:r w:rsidR="00D33C80" w:rsidRPr="003E7977">
        <w:rPr>
          <w:szCs w:val="24"/>
          <w:lang w:val="es-MX"/>
        </w:rPr>
        <w:t xml:space="preserve">Que </w:t>
      </w:r>
      <w:r w:rsidRPr="003E7977">
        <w:rPr>
          <w:szCs w:val="24"/>
          <w:lang w:val="es-MX"/>
        </w:rPr>
        <w:t>e</w:t>
      </w:r>
      <w:r w:rsidR="0016569A" w:rsidRPr="003E7977">
        <w:rPr>
          <w:szCs w:val="24"/>
          <w:lang w:val="es-ES"/>
        </w:rPr>
        <w:t>n cuanto a la fecha de conmemoración instituida por el artículo 1º del proyecto que elevo, la misma se debe a que el 21 de junio coincide con el día en el que comienza el invierno y con motivo de que el mayor uso de los antimicrobianos se registra en esta etapa o estación del año. Por otra parte,</w:t>
      </w:r>
      <w:r w:rsidR="0016569A" w:rsidRPr="003E7977">
        <w:rPr>
          <w:szCs w:val="24"/>
          <w:shd w:val="clear" w:color="auto" w:fill="FFFFFF"/>
        </w:rPr>
        <w:t xml:space="preserve"> no resulta menor tener en consideración que, la Resolución Conjunta 834/15 y 391/15 de los ministerios nacionales de Salud y de Agricultura, Ganadería y Pesca, dictada en el marco de esta temática conforme la agenda y políticas internacionales, promueve en el punto 7.4 “Acciones específicas para el uso responsable de antimicrobianos en salud humana” ítem 7.4.2. de su Anexo I que establece los objetivos de la Estrategia Argentina para el Control de la Resistencia Antimicrobiana aprobada por el Artículo 1º, la posible implementación de un día nacional en esta misma fecha y también por el motivo arriba expuesto</w:t>
      </w:r>
      <w:r w:rsidRPr="003E7977">
        <w:rPr>
          <w:szCs w:val="24"/>
          <w:shd w:val="clear" w:color="auto" w:fill="FFFFFF"/>
        </w:rPr>
        <w:t>;</w:t>
      </w:r>
    </w:p>
    <w:p w:rsidR="0016569A" w:rsidRPr="003E7977" w:rsidRDefault="00E80907" w:rsidP="003E7977">
      <w:pPr>
        <w:spacing w:after="240"/>
        <w:rPr>
          <w:szCs w:val="24"/>
        </w:rPr>
      </w:pPr>
      <w:r w:rsidRPr="003E7977">
        <w:rPr>
          <w:szCs w:val="24"/>
        </w:rPr>
        <w:tab/>
      </w:r>
      <w:r w:rsidR="00D33C80" w:rsidRPr="003E7977">
        <w:rPr>
          <w:szCs w:val="24"/>
          <w:lang w:val="es-MX"/>
        </w:rPr>
        <w:t xml:space="preserve">Que </w:t>
      </w:r>
      <w:r w:rsidRPr="003E7977">
        <w:rPr>
          <w:szCs w:val="24"/>
          <w:lang w:val="es-MX"/>
        </w:rPr>
        <w:t>en</w:t>
      </w:r>
      <w:r w:rsidR="0016569A" w:rsidRPr="003E7977">
        <w:rPr>
          <w:szCs w:val="24"/>
          <w:lang w:val="es-ES"/>
        </w:rPr>
        <w:t xml:space="preserve"> el orden internacional, es dable destacar que, e</w:t>
      </w:r>
      <w:r w:rsidR="0016569A" w:rsidRPr="003E7977">
        <w:rPr>
          <w:szCs w:val="24"/>
        </w:rPr>
        <w:t>l Comité Ejecutivo de la Iniciativa Tripartita (</w:t>
      </w:r>
      <w:r w:rsidR="0016569A" w:rsidRPr="003E7977">
        <w:rPr>
          <w:b/>
          <w:szCs w:val="24"/>
        </w:rPr>
        <w:t>FAO-</w:t>
      </w:r>
      <w:r w:rsidR="0016569A" w:rsidRPr="003E7977">
        <w:rPr>
          <w:szCs w:val="24"/>
        </w:rPr>
        <w:t xml:space="preserve"> Organización de las Naciones Unidas para la Alimentación y la Agricultura, </w:t>
      </w:r>
      <w:r w:rsidR="0016569A" w:rsidRPr="003E7977">
        <w:rPr>
          <w:b/>
          <w:szCs w:val="24"/>
        </w:rPr>
        <w:t>OIE</w:t>
      </w:r>
      <w:r w:rsidR="0016569A" w:rsidRPr="003E7977">
        <w:rPr>
          <w:szCs w:val="24"/>
        </w:rPr>
        <w:t xml:space="preserve">- Organización Mundial de Sanidad Animal y </w:t>
      </w:r>
      <w:r w:rsidR="0016569A" w:rsidRPr="003E7977">
        <w:rPr>
          <w:b/>
          <w:szCs w:val="24"/>
        </w:rPr>
        <w:t>OMS</w:t>
      </w:r>
      <w:r w:rsidR="0016569A" w:rsidRPr="003E7977">
        <w:rPr>
          <w:szCs w:val="24"/>
        </w:rPr>
        <w:t xml:space="preserve">- Organización Mundial de la Salud) decidió fijar las fechas de todas las semanas mundiales de esta concienciación anualmente del 18 al 24 de noviembre.  </w:t>
      </w:r>
      <w:r w:rsidR="0016569A" w:rsidRPr="003E7977">
        <w:rPr>
          <w:szCs w:val="24"/>
          <w:shd w:val="clear" w:color="auto" w:fill="FFFFFF"/>
        </w:rPr>
        <w:t>El Comité de Iniciativa Tripartita mencionado en el que se han unido la FAO y la OIE en apoyo a la OMS trabaja en la coordinación y ejecución de esta gran campaña para garantizar que se cumplan los compromisos asumidos en la Declaración Política y el Plan de Acción Mundial, y para abordar y mitigar la propagación de la RAM bajo el concepto de ‘’Una salud’’ que constituye una verdadera estrategia para diseñar y aplicar programas, políticas, leyes e investigaciones en el que múltiples sectores se comunican y colaboran para lograr mejores resultados de salud pública</w:t>
      </w:r>
      <w:r w:rsidRPr="003E7977">
        <w:rPr>
          <w:szCs w:val="24"/>
          <w:shd w:val="clear" w:color="auto" w:fill="FFFFFF"/>
        </w:rPr>
        <w:t>;</w:t>
      </w:r>
    </w:p>
    <w:p w:rsidR="0016569A" w:rsidRPr="003E7977" w:rsidRDefault="00E80907" w:rsidP="003E7977">
      <w:pPr>
        <w:spacing w:after="240"/>
        <w:rPr>
          <w:szCs w:val="24"/>
          <w:lang w:val="es-ES"/>
        </w:rPr>
      </w:pPr>
      <w:r w:rsidRPr="003E7977">
        <w:rPr>
          <w:szCs w:val="24"/>
        </w:rPr>
        <w:tab/>
      </w:r>
      <w:r w:rsidR="00D33C80" w:rsidRPr="003E7977">
        <w:rPr>
          <w:szCs w:val="24"/>
          <w:lang w:val="es-MX"/>
        </w:rPr>
        <w:t>Que</w:t>
      </w:r>
      <w:r w:rsidRPr="003E7977">
        <w:rPr>
          <w:szCs w:val="24"/>
          <w:lang w:val="es-MX"/>
        </w:rPr>
        <w:t xml:space="preserve"> en</w:t>
      </w:r>
      <w:r w:rsidR="0016569A" w:rsidRPr="003E7977">
        <w:rPr>
          <w:szCs w:val="24"/>
          <w:lang w:val="es-ES"/>
        </w:rPr>
        <w:t xml:space="preserve"> 2017, y con el fin de orientar la investigación y desarrollo de nuevos antimicrobianos, medios de diagnóstico y vacunas, la Organización elaboró la lista OMS de patógenos prioritarios que se actualizará recién en 2022. Cada año, la propia OMS examina las líneas preclínicas y clínicas de desarrollo de antibacterianos para valorar su progresión con respecto a la lista OMS de patógenos prioritarios. La línea de desarrollo clínico de nuevos antimicrobianos está agotada. En 2019 identificó 32 antibióticos en fase de desarrollo clínico contra la propia lista OMS de patógenos prioritarios, de los que solo seis se clasificaron como innovadores. Es más, la falta de acceso a antimicrobianos de calidad sigue siendo un gran problema. La escasez de antibióticos afecta a países de todos los niveles de desarrollo y especialmente a sus sistemas de atención de salud</w:t>
      </w:r>
      <w:r w:rsidRPr="003E7977">
        <w:rPr>
          <w:szCs w:val="24"/>
          <w:lang w:val="es-ES"/>
        </w:rPr>
        <w:t>;</w:t>
      </w:r>
    </w:p>
    <w:p w:rsidR="0016569A" w:rsidRPr="003E7977" w:rsidRDefault="00E80907" w:rsidP="003E7977">
      <w:pPr>
        <w:spacing w:after="240"/>
        <w:rPr>
          <w:szCs w:val="24"/>
          <w:lang w:val="es-ES"/>
        </w:rPr>
      </w:pPr>
      <w:r w:rsidRPr="003E7977">
        <w:rPr>
          <w:szCs w:val="24"/>
          <w:lang w:val="es-ES"/>
        </w:rPr>
        <w:tab/>
      </w:r>
      <w:r w:rsidRPr="003E7977">
        <w:rPr>
          <w:szCs w:val="24"/>
          <w:lang w:val="es-MX"/>
        </w:rPr>
        <w:t>Que los</w:t>
      </w:r>
      <w:r w:rsidR="0016569A" w:rsidRPr="003E7977">
        <w:rPr>
          <w:szCs w:val="24"/>
          <w:lang w:val="es-ES"/>
        </w:rPr>
        <w:t xml:space="preserve"> antibióticos son cada vez más ineficaces, a medida que la farmacorresistencia se propaga por todo el mundo, lo que conduce a más infecciones difíciles de tratar y al aumento de la mortalidad. Se necesitan urgentemente nuevos antibacterianos, por ejemplo, para tratar las infecciones debidas a bacterias gramnegativas resistentes a los antibióticos carbapenémicos identificadas en la lista OMS de patógenos prioritarios dado que sigue habiendo una laguna importante en investigación y desarrollo, en particular para los antibacterianos dirigidos contra estas bacterias. Ahora bien, si no se cambia la forma en que se utilizan actualmente los antibióticos, esos nuevos antibióticos tendrán el mismo destino que los actuales y se volverán ineficaces</w:t>
      </w:r>
      <w:r w:rsidRPr="003E7977">
        <w:rPr>
          <w:szCs w:val="24"/>
          <w:lang w:val="es-ES"/>
        </w:rPr>
        <w:t>;</w:t>
      </w:r>
    </w:p>
    <w:p w:rsidR="0016569A" w:rsidRPr="003E7977" w:rsidRDefault="00E80907" w:rsidP="003E7977">
      <w:pPr>
        <w:spacing w:after="240"/>
        <w:rPr>
          <w:szCs w:val="24"/>
          <w:lang w:val="es-ES"/>
        </w:rPr>
      </w:pPr>
      <w:r w:rsidRPr="003E7977">
        <w:rPr>
          <w:szCs w:val="24"/>
          <w:lang w:val="es-MX"/>
        </w:rPr>
        <w:tab/>
      </w:r>
      <w:r w:rsidR="00D33C80" w:rsidRPr="003E7977">
        <w:rPr>
          <w:szCs w:val="24"/>
          <w:lang w:val="es-MX"/>
        </w:rPr>
        <w:t>Que</w:t>
      </w:r>
      <w:r w:rsidRPr="003E7977">
        <w:rPr>
          <w:szCs w:val="24"/>
          <w:lang w:val="es-MX"/>
        </w:rPr>
        <w:t xml:space="preserve"> la </w:t>
      </w:r>
      <w:r w:rsidR="0016569A" w:rsidRPr="003E7977">
        <w:rPr>
          <w:szCs w:val="24"/>
          <w:lang w:val="es-ES"/>
        </w:rPr>
        <w:t xml:space="preserve">RAM tiene costos considerables para las economías de los países y sus sistemas de salud, ya que afecta a la productividad de los pacientes o sus cuidadores </w:t>
      </w:r>
      <w:r w:rsidR="0016569A" w:rsidRPr="003E7977">
        <w:rPr>
          <w:szCs w:val="24"/>
          <w:lang w:val="es-ES"/>
        </w:rPr>
        <w:lastRenderedPageBreak/>
        <w:t>debido a las estancias hospitalarias prolongadas y a la necesidad de una atención más cara e intensiva</w:t>
      </w:r>
      <w:r w:rsidRPr="003E7977">
        <w:rPr>
          <w:szCs w:val="24"/>
          <w:lang w:val="es-ES"/>
        </w:rPr>
        <w:t>;</w:t>
      </w:r>
      <w:r w:rsidR="0016569A" w:rsidRPr="003E7977">
        <w:rPr>
          <w:szCs w:val="24"/>
          <w:lang w:val="es-ES"/>
        </w:rPr>
        <w:t> </w:t>
      </w:r>
    </w:p>
    <w:p w:rsidR="0016569A" w:rsidRPr="003E7977" w:rsidRDefault="00E80907" w:rsidP="003E7977">
      <w:pPr>
        <w:spacing w:after="240"/>
        <w:rPr>
          <w:szCs w:val="24"/>
          <w:lang w:val="es-ES"/>
        </w:rPr>
      </w:pPr>
      <w:r w:rsidRPr="003E7977">
        <w:rPr>
          <w:szCs w:val="24"/>
          <w:lang w:val="es-ES"/>
        </w:rPr>
        <w:tab/>
      </w:r>
      <w:r w:rsidR="00D33C80" w:rsidRPr="003E7977">
        <w:rPr>
          <w:szCs w:val="24"/>
          <w:lang w:val="es-MX"/>
        </w:rPr>
        <w:t>Que</w:t>
      </w:r>
      <w:r w:rsidRPr="003E7977">
        <w:rPr>
          <w:szCs w:val="24"/>
          <w:lang w:val="es-MX"/>
        </w:rPr>
        <w:t xml:space="preserve"> sin </w:t>
      </w:r>
      <w:r w:rsidR="0016569A" w:rsidRPr="003E7977">
        <w:rPr>
          <w:szCs w:val="24"/>
          <w:lang w:val="es-ES"/>
        </w:rPr>
        <w:t>herramientas eficaces para la prevención y el tratamiento adecuado de las infecciones farmacorresistentes y la mejora del acceso a antimicrobianos nuevos y existentes de calidad asegurada, aumentará el número de personas para quienes el tratamiento está fallando o que morirán a causa de la infección.  Será más arriesgado llevar a cabo procedimientos médicos como las intervenciones quirúrgicas, incluidas las cesáreas, las prótesis de cadera, la quimioterapia contra el cáncer y el trasplante de órganos</w:t>
      </w:r>
      <w:r w:rsidRPr="003E7977">
        <w:rPr>
          <w:szCs w:val="24"/>
          <w:lang w:val="es-ES"/>
        </w:rPr>
        <w:t>;</w:t>
      </w:r>
    </w:p>
    <w:p w:rsidR="0016569A" w:rsidRPr="003E7977" w:rsidRDefault="00E80907" w:rsidP="003E7977">
      <w:pPr>
        <w:spacing w:after="240"/>
        <w:rPr>
          <w:szCs w:val="24"/>
          <w:lang w:val="es-ES"/>
        </w:rPr>
      </w:pPr>
      <w:r w:rsidRPr="003E7977">
        <w:rPr>
          <w:szCs w:val="24"/>
          <w:lang w:val="es-ES"/>
        </w:rPr>
        <w:tab/>
      </w:r>
      <w:r w:rsidR="00D33C80" w:rsidRPr="003E7977">
        <w:rPr>
          <w:szCs w:val="24"/>
          <w:lang w:val="es-MX"/>
        </w:rPr>
        <w:t>Que</w:t>
      </w:r>
      <w:r w:rsidRPr="003E7977">
        <w:rPr>
          <w:szCs w:val="24"/>
          <w:lang w:val="es-MX"/>
        </w:rPr>
        <w:t xml:space="preserve"> la </w:t>
      </w:r>
      <w:r w:rsidR="0016569A" w:rsidRPr="003E7977">
        <w:rPr>
          <w:szCs w:val="24"/>
          <w:lang w:val="es-ES"/>
        </w:rPr>
        <w:t>RAM es un fenómeno que aparece de forma natural con el tiempo, generalmente por modificaciones genéticas. Los organismos resistentes a los antimicrobianos están presentes en las personas, los animales, los alimentos, las plantas y el medio ambiente (agua, suelo y aire). Pueden propagarse de una persona a otra o entre las personas y los animales, en particular a partir de alimentos de origen animal. Entre los principales factores de la resistencia a los antimicrobianos se encuentran los siguientes: el uso indebido y excesivo de antimicrobianos; la falta de acceso a agua limpia, saneamiento e higiene (ASH) tanto para las personas como para los animales; medidas deficientes de prevención y control de las enfermedades y las infecciones en los centros de atención de salud y las explotaciones agrícolas; el acceso deficiente a medicamentos, vacunas y medios de diagnóstico asequibles y de calidad; la falta de sensibilización y conocimientos; y el incumplimiento de la legislación</w:t>
      </w:r>
      <w:r w:rsidR="00D33C80" w:rsidRPr="003E7977">
        <w:rPr>
          <w:szCs w:val="24"/>
          <w:lang w:val="es-ES"/>
        </w:rPr>
        <w:t>;</w:t>
      </w:r>
      <w:r w:rsidR="0016569A" w:rsidRPr="003E7977">
        <w:rPr>
          <w:szCs w:val="24"/>
          <w:lang w:val="es-ES"/>
        </w:rPr>
        <w:t>  </w:t>
      </w:r>
    </w:p>
    <w:p w:rsidR="0016569A" w:rsidRPr="003E7977" w:rsidRDefault="00CE0D73" w:rsidP="003E7977">
      <w:pPr>
        <w:spacing w:after="240"/>
        <w:rPr>
          <w:szCs w:val="24"/>
          <w:lang w:val="es-ES"/>
        </w:rPr>
      </w:pPr>
      <w:r w:rsidRPr="003E7977">
        <w:rPr>
          <w:szCs w:val="24"/>
          <w:lang w:val="es-MX"/>
        </w:rPr>
        <w:tab/>
      </w:r>
      <w:r w:rsidR="00D33C80" w:rsidRPr="003E7977">
        <w:rPr>
          <w:szCs w:val="24"/>
          <w:lang w:val="es-MX"/>
        </w:rPr>
        <w:t xml:space="preserve">Que </w:t>
      </w:r>
      <w:r w:rsidRPr="003E7977">
        <w:rPr>
          <w:szCs w:val="24"/>
          <w:lang w:val="es-MX"/>
        </w:rPr>
        <w:t>e</w:t>
      </w:r>
      <w:r w:rsidR="0016569A" w:rsidRPr="003E7977">
        <w:rPr>
          <w:szCs w:val="24"/>
          <w:lang w:val="es-ES"/>
        </w:rPr>
        <w:t>s necesaria la acción coordinada. La RAM es un problema complejo que requiere un enfoque multisectorial unificado. El enfoque “Una salud” reúne a diferentes sectores y partes interesadas que intervienen en la salud de los seres humanos, los animales acuáticos y terrestres y las plantas, en la producción de alimentos humanos y piensos, y en el medio ambiente para establecer lazos de comunicación y colaborar en el proyecto y puesta en marcha de programas, políticas, legislación e investigaciones para lograr mejores resultados de salud pública</w:t>
      </w:r>
      <w:r w:rsidR="00D33C80" w:rsidRPr="003E7977">
        <w:rPr>
          <w:szCs w:val="24"/>
          <w:lang w:val="es-ES"/>
        </w:rPr>
        <w:t>;</w:t>
      </w:r>
      <w:r w:rsidR="0016569A" w:rsidRPr="003E7977">
        <w:rPr>
          <w:szCs w:val="24"/>
          <w:lang w:val="es-ES"/>
        </w:rPr>
        <w:t> </w:t>
      </w:r>
    </w:p>
    <w:p w:rsidR="0016569A" w:rsidRPr="003E7977" w:rsidRDefault="00237C13" w:rsidP="003E7977">
      <w:pPr>
        <w:spacing w:after="240"/>
        <w:rPr>
          <w:szCs w:val="24"/>
          <w:lang w:val="es-ES"/>
        </w:rPr>
      </w:pPr>
      <w:r w:rsidRPr="003E7977">
        <w:rPr>
          <w:szCs w:val="24"/>
          <w:lang w:val="es-MX"/>
        </w:rPr>
        <w:tab/>
      </w:r>
      <w:r w:rsidR="00D33C80" w:rsidRPr="003E7977">
        <w:rPr>
          <w:szCs w:val="24"/>
          <w:lang w:val="es-MX"/>
        </w:rPr>
        <w:t xml:space="preserve">Que </w:t>
      </w:r>
      <w:r w:rsidRPr="003E7977">
        <w:rPr>
          <w:szCs w:val="24"/>
          <w:lang w:val="es-MX"/>
        </w:rPr>
        <w:t>se</w:t>
      </w:r>
      <w:r w:rsidR="0016569A" w:rsidRPr="003E7977">
        <w:rPr>
          <w:szCs w:val="24"/>
          <w:lang w:val="es-ES"/>
        </w:rPr>
        <w:t xml:space="preserve"> requieren más innovaciones e inversiones en investigaciones operacionales, y en investigación y desarrollo de nuevos medicamentos antimicrobianos, vacunas y medios de diagnóstico, especialmente los dirigidos contra bacterias gramnegativas críticas, como las enterobacteriáceas resistentes a los antibióticos carbapenémicos y </w:t>
      </w:r>
      <w:r w:rsidR="0016569A" w:rsidRPr="003E7977">
        <w:rPr>
          <w:i/>
          <w:iCs/>
          <w:szCs w:val="24"/>
          <w:lang w:val="es-ES"/>
        </w:rPr>
        <w:t>Acinetobacter baumannii</w:t>
      </w:r>
      <w:r w:rsidR="0016569A" w:rsidRPr="003E7977">
        <w:rPr>
          <w:szCs w:val="24"/>
          <w:lang w:val="es-ES"/>
        </w:rPr>
        <w:t>. La puesta en marcha del Fondo Fiduciario Multipartito sobre la Resistencia a los Antimicrobianos (FFM-RAM), la Alianza Mundial para la Investigación y Desarrollo de Antibióticos (GARDP), el Fondo de Acción contra la RAM, así como otros fondos e iniciativas, podría subsanar un importante déficit de financiación. Algunos gobiernos, como Suecia, Alemania, los Estados Unidos y el Reino Unido, están experimentando con modelos de reembolso. Se necesitan más iniciativas para encontrar soluciones duraderas. En el plano mundial, los países se comprometieron en la Asamblea Mundial de la Salud de 2015 a aplicar el marco establecido en el Plan de acción mundial (PAM) de 2015 sobre la RAM, y a la elaboración y aplicación de planes de acción nacionales multisectoriales. El Plan fue posteriormente refrendado por los órganos rectores de la Organización de las Naciones Unidas para la Alimentación y la Agricultura (FAO) y la Organización Mundial de Sanidad Animal (OIE). A fin de garantizar los progresos mundiales, los países deben velar por la financiación y aplicación de planes de acción nacionales en diferentes sectores con el fin de garantizar el progreso sostenible. Antes de la aprobación del PAM en 2015, entre las iniciativas mundiales para contener la RAM se incluía la Estrategia Mundial OMS para la Contención de la Resistencia a los Antimicrobianos, elaborada en 2001 y que ofrece un marco de intervenciones para ralentizar la aparición de la RAM y reducir su propagación</w:t>
      </w:r>
      <w:r w:rsidR="00D33C80" w:rsidRPr="003E7977">
        <w:rPr>
          <w:szCs w:val="24"/>
          <w:lang w:val="es-ES"/>
        </w:rPr>
        <w:t>;</w:t>
      </w:r>
      <w:r w:rsidR="0016569A" w:rsidRPr="003E7977">
        <w:rPr>
          <w:szCs w:val="24"/>
          <w:lang w:val="es-ES"/>
        </w:rPr>
        <w:t xml:space="preserve"> </w:t>
      </w:r>
    </w:p>
    <w:p w:rsidR="0016569A" w:rsidRPr="003E7977" w:rsidRDefault="00237C13" w:rsidP="003E7977">
      <w:pPr>
        <w:spacing w:after="240"/>
        <w:rPr>
          <w:szCs w:val="24"/>
          <w:lang w:val="es-ES"/>
        </w:rPr>
      </w:pPr>
      <w:r w:rsidRPr="003E7977">
        <w:rPr>
          <w:szCs w:val="24"/>
          <w:lang w:val="es-MX"/>
        </w:rPr>
        <w:lastRenderedPageBreak/>
        <w:tab/>
      </w:r>
      <w:r w:rsidR="00D33C80" w:rsidRPr="003E7977">
        <w:rPr>
          <w:szCs w:val="24"/>
          <w:lang w:val="es-MX"/>
        </w:rPr>
        <w:t>Que</w:t>
      </w:r>
      <w:r w:rsidRPr="003E7977">
        <w:rPr>
          <w:szCs w:val="24"/>
          <w:lang w:val="es-MX"/>
        </w:rPr>
        <w:t xml:space="preserve"> en</w:t>
      </w:r>
      <w:r w:rsidR="0016569A" w:rsidRPr="003E7977">
        <w:rPr>
          <w:szCs w:val="24"/>
          <w:lang w:val="es-ES"/>
        </w:rPr>
        <w:t xml:space="preserve"> la Declaración política de la reunión de alto nivel de las Naciones Unidas sobre la RAM, aprobada por los Jefes de Estado en la Asamblea General de las Naciones Unidas celebrada en Nueva York en septiembre de 2016, se confirmó que se prestaría atención especial a un enfoque amplio y coordinado en el que participen todos los sectores, en particular los de la salud humana, de los animales, de las plantas y del medio ambiente. La OMS colabora estrechamente con la FAO y la OIE en el enfoque “Una salud” para promover prácticas óptimas que permitan reducir la RAM y ralentizar su progresión</w:t>
      </w:r>
      <w:r w:rsidR="00D33C80" w:rsidRPr="003E7977">
        <w:rPr>
          <w:szCs w:val="24"/>
          <w:lang w:val="es-ES"/>
        </w:rPr>
        <w:t>;</w:t>
      </w:r>
    </w:p>
    <w:p w:rsidR="0016569A" w:rsidRPr="003E7977" w:rsidRDefault="00237C13" w:rsidP="003E7977">
      <w:pPr>
        <w:spacing w:after="240"/>
        <w:rPr>
          <w:szCs w:val="24"/>
          <w:lang w:val="es-ES"/>
        </w:rPr>
      </w:pPr>
      <w:r w:rsidRPr="003E7977">
        <w:rPr>
          <w:szCs w:val="24"/>
          <w:lang w:val="es-MX"/>
        </w:rPr>
        <w:tab/>
      </w:r>
      <w:r w:rsidR="00D33C80" w:rsidRPr="003E7977">
        <w:rPr>
          <w:szCs w:val="24"/>
          <w:lang w:val="es-MX"/>
        </w:rPr>
        <w:t>Que</w:t>
      </w:r>
      <w:r w:rsidRPr="003E7977">
        <w:rPr>
          <w:szCs w:val="24"/>
          <w:lang w:val="es-MX"/>
        </w:rPr>
        <w:t xml:space="preserve"> el </w:t>
      </w:r>
      <w:r w:rsidR="0016569A" w:rsidRPr="003E7977">
        <w:rPr>
          <w:szCs w:val="24"/>
          <w:lang w:val="es-ES"/>
        </w:rPr>
        <w:t>Secretario General de las Naciones Unidas convocó el Grupo de Coordinación Interorganismos sobre la RAM tras la reunión de alto nivel de las Naciones Unidas sobre la resistencia a los antimicrobianos celebrada en 2016. El Grupo de Coordinación Interorganismos reunió a asociados de las Naciones Unidas y las organizaciones internacionales y a particulares con conocimientos especializados sobre la salud de los seres humanos, los animales y las plantas, así como a los sectores de la alimentación humana, los piensos animales, el desarrollo y el medio ambiente, para formular un plan que permita combatir la resistencia a los antimicrobianos</w:t>
      </w:r>
      <w:r w:rsidR="00D33C80" w:rsidRPr="003E7977">
        <w:rPr>
          <w:szCs w:val="24"/>
          <w:lang w:val="es-ES"/>
        </w:rPr>
        <w:t>;</w:t>
      </w:r>
      <w:r w:rsidR="0016569A" w:rsidRPr="003E7977">
        <w:rPr>
          <w:szCs w:val="24"/>
          <w:lang w:val="es-ES"/>
        </w:rPr>
        <w:t xml:space="preserve"> </w:t>
      </w:r>
    </w:p>
    <w:p w:rsidR="0016569A" w:rsidRPr="003E7977" w:rsidRDefault="00237C13" w:rsidP="003E7977">
      <w:pPr>
        <w:spacing w:after="240"/>
        <w:rPr>
          <w:szCs w:val="24"/>
          <w:lang w:val="es-ES"/>
        </w:rPr>
      </w:pPr>
      <w:r w:rsidRPr="003E7977">
        <w:rPr>
          <w:szCs w:val="24"/>
          <w:lang w:val="es-MX"/>
        </w:rPr>
        <w:tab/>
      </w:r>
      <w:r w:rsidR="00D33C80" w:rsidRPr="003E7977">
        <w:rPr>
          <w:szCs w:val="24"/>
          <w:lang w:val="es-MX"/>
        </w:rPr>
        <w:t>Que</w:t>
      </w:r>
      <w:r w:rsidRPr="003E7977">
        <w:rPr>
          <w:szCs w:val="24"/>
          <w:lang w:val="es-MX"/>
        </w:rPr>
        <w:t xml:space="preserve"> el</w:t>
      </w:r>
      <w:r w:rsidR="0016569A" w:rsidRPr="003E7977">
        <w:rPr>
          <w:szCs w:val="24"/>
          <w:lang w:val="es-ES"/>
        </w:rPr>
        <w:t xml:space="preserve"> Grupo de Coordinación Interorganismos sobre la RAM presentó al Secretario General de las Naciones Unidas en abril de 2019 su informe, titulado “No podemos esperar: Asegurar el futuro contra las infecciones farmacorresistentes” al cual puede accederse a través de este link https://www.who.int/antimicrobial-resistance/interagency-coordination-group/IACG_final_report_ES.pdf?ua=1 </w:t>
      </w:r>
    </w:p>
    <w:p w:rsidR="0016569A" w:rsidRPr="003E7977" w:rsidRDefault="00237C13" w:rsidP="003E7977">
      <w:pPr>
        <w:spacing w:after="240"/>
        <w:rPr>
          <w:szCs w:val="24"/>
          <w:lang w:val="es-ES"/>
        </w:rPr>
      </w:pPr>
      <w:r w:rsidRPr="003E7977">
        <w:rPr>
          <w:szCs w:val="24"/>
          <w:lang w:val="es-ES"/>
        </w:rPr>
        <w:tab/>
      </w:r>
      <w:r w:rsidR="00D33C80" w:rsidRPr="003E7977">
        <w:rPr>
          <w:szCs w:val="24"/>
          <w:lang w:val="es-MX"/>
        </w:rPr>
        <w:t xml:space="preserve">Que </w:t>
      </w:r>
      <w:r w:rsidRPr="003E7977">
        <w:rPr>
          <w:szCs w:val="24"/>
          <w:lang w:val="es-MX"/>
        </w:rPr>
        <w:t>las</w:t>
      </w:r>
      <w:r w:rsidR="0016569A" w:rsidRPr="003E7977">
        <w:rPr>
          <w:szCs w:val="24"/>
          <w:lang w:val="es-ES"/>
        </w:rPr>
        <w:t xml:space="preserve"> recomendaciones de este informe están en proceso de aplicación</w:t>
      </w:r>
      <w:r w:rsidR="00D33C80" w:rsidRPr="003E7977">
        <w:rPr>
          <w:szCs w:val="24"/>
          <w:lang w:val="es-ES"/>
        </w:rPr>
        <w:t>;</w:t>
      </w:r>
    </w:p>
    <w:p w:rsidR="0016569A" w:rsidRPr="003E7977" w:rsidRDefault="00237C13" w:rsidP="003E7977">
      <w:pPr>
        <w:spacing w:after="240"/>
        <w:rPr>
          <w:szCs w:val="24"/>
          <w:lang w:val="es-ES"/>
        </w:rPr>
      </w:pPr>
      <w:r w:rsidRPr="003E7977">
        <w:rPr>
          <w:szCs w:val="24"/>
          <w:lang w:val="es-ES"/>
        </w:rPr>
        <w:tab/>
      </w:r>
      <w:r w:rsidR="00D33C80" w:rsidRPr="003E7977">
        <w:rPr>
          <w:szCs w:val="24"/>
          <w:lang w:val="es-MX"/>
        </w:rPr>
        <w:t>Que</w:t>
      </w:r>
      <w:r w:rsidRPr="003E7977">
        <w:rPr>
          <w:szCs w:val="24"/>
          <w:lang w:val="es-MX"/>
        </w:rPr>
        <w:t xml:space="preserve"> ahora</w:t>
      </w:r>
      <w:r w:rsidR="0016569A" w:rsidRPr="003E7977">
        <w:rPr>
          <w:szCs w:val="24"/>
          <w:lang w:val="es-ES"/>
        </w:rPr>
        <w:t xml:space="preserve"> bien, la secretaría conjunta tripartita (FAO, OIE y OMS), acogida por la OMS, a la cual ya me referí más arriba inicialmente, se ha establecido con el fin de impulsar la colaboración multipartita en relación con la RAM.  Entre las nuevas estructuras de gobernanza acordadas se incluyen: el Grupo de líderes mundiales sobre la RAM, el Grupo independiente sobre datos probatorios para fundamentar medidas de lucha contra la resistencia a los antimicrobianos y la Plataforma multipartita de colaboración. Estas estructuras están en proceso de establecerse</w:t>
      </w:r>
      <w:r w:rsidR="00D33C80" w:rsidRPr="003E7977">
        <w:rPr>
          <w:szCs w:val="24"/>
          <w:lang w:val="es-ES"/>
        </w:rPr>
        <w:t>;</w:t>
      </w:r>
    </w:p>
    <w:p w:rsidR="0016569A" w:rsidRPr="003E7977" w:rsidRDefault="00237C13" w:rsidP="003E7977">
      <w:pPr>
        <w:spacing w:after="240"/>
        <w:rPr>
          <w:szCs w:val="24"/>
          <w:lang w:val="es-ES"/>
        </w:rPr>
      </w:pPr>
      <w:r w:rsidRPr="003E7977">
        <w:rPr>
          <w:szCs w:val="24"/>
          <w:lang w:val="es-MX"/>
        </w:rPr>
        <w:tab/>
      </w:r>
      <w:r w:rsidR="00D33C80" w:rsidRPr="003E7977">
        <w:rPr>
          <w:szCs w:val="24"/>
          <w:lang w:val="es-MX"/>
        </w:rPr>
        <w:t>Que</w:t>
      </w:r>
      <w:r w:rsidRPr="003E7977">
        <w:rPr>
          <w:szCs w:val="24"/>
          <w:lang w:val="es-MX"/>
        </w:rPr>
        <w:t xml:space="preserve"> por</w:t>
      </w:r>
      <w:r w:rsidR="0016569A" w:rsidRPr="003E7977">
        <w:rPr>
          <w:szCs w:val="24"/>
          <w:lang w:val="es-ES"/>
        </w:rPr>
        <w:t xml:space="preserve"> otra parte, la OMS puso en marcha el Sistema Mundial de Vigilancia de la Resistencia a los Antimicrobianos (GLASS) en 2015 con el objetivo de seguir colmando las lagunas en conocimientos y orientar las estrategias a todos los niveles. </w:t>
      </w:r>
      <w:r w:rsidRPr="003E7977">
        <w:rPr>
          <w:szCs w:val="24"/>
          <w:lang w:val="es-ES"/>
        </w:rPr>
        <w:tab/>
        <w:t xml:space="preserve">Que </w:t>
      </w:r>
      <w:r w:rsidR="0016569A" w:rsidRPr="003E7977">
        <w:rPr>
          <w:szCs w:val="24"/>
          <w:lang w:val="es-ES"/>
        </w:rPr>
        <w:t>GLASS ha sido concebido para incorporar de forma progresiva datos procedentes de la vigilancia de la RAM en los seres humanos, la vigilancia del uso de los medicamentos antimicrobianos, y la resistencia a los antimicrobianos en la cadena alimentaria y el medio ambiente. Ofrece un enfoque normalizado para la recopilación, análisis, interpretación e intercambio de datos por los países, territorios y zonas, y permite supervisar la situación de los sistemas nacionales de vigilancia nuevos o existentes, haciendo hincapié en la representatividad y la calidad de los datos compilados. Algunas regiones de la OMS han establecido redes de vigilancia que prestan apoyo técnico a los países y facilitan el registro en GLASS</w:t>
      </w:r>
      <w:r w:rsidR="00D33C80" w:rsidRPr="003E7977">
        <w:rPr>
          <w:szCs w:val="24"/>
          <w:lang w:val="es-ES"/>
        </w:rPr>
        <w:t>;</w:t>
      </w:r>
    </w:p>
    <w:p w:rsidR="0016569A" w:rsidRPr="003E7977" w:rsidRDefault="00237C13" w:rsidP="003E7977">
      <w:pPr>
        <w:spacing w:after="240"/>
        <w:rPr>
          <w:szCs w:val="24"/>
          <w:lang w:val="es-ES"/>
        </w:rPr>
      </w:pPr>
      <w:r w:rsidRPr="003E7977">
        <w:rPr>
          <w:szCs w:val="24"/>
          <w:lang w:val="es-MX"/>
        </w:rPr>
        <w:tab/>
      </w:r>
      <w:r w:rsidR="00D33C80" w:rsidRPr="003E7977">
        <w:rPr>
          <w:szCs w:val="24"/>
          <w:lang w:val="es-MX"/>
        </w:rPr>
        <w:t>Que</w:t>
      </w:r>
      <w:r w:rsidRPr="003E7977">
        <w:rPr>
          <w:szCs w:val="24"/>
          <w:lang w:val="es-MX"/>
        </w:rPr>
        <w:t xml:space="preserve"> ademas,</w:t>
      </w:r>
      <w:r w:rsidR="0016569A" w:rsidRPr="003E7977">
        <w:rPr>
          <w:szCs w:val="24"/>
          <w:lang w:val="es-ES"/>
        </w:rPr>
        <w:t xml:space="preserve"> por una iniciativa conjunta de la OMS y la Iniciativa Medicamentos para las Enfermedades Desatendidas (DND</w:t>
      </w:r>
      <w:r w:rsidR="0016569A" w:rsidRPr="003E7977">
        <w:rPr>
          <w:i/>
          <w:iCs/>
          <w:szCs w:val="24"/>
          <w:lang w:val="es-ES"/>
        </w:rPr>
        <w:t>i</w:t>
      </w:r>
      <w:r w:rsidR="0016569A" w:rsidRPr="003E7977">
        <w:rPr>
          <w:szCs w:val="24"/>
          <w:lang w:val="es-ES"/>
        </w:rPr>
        <w:t>), se creó la Alianza Mundial para la Investigación y Desarrollo de Antibióticos (GARDP), que fomenta la investigación y el desarrollo mediante alianzas público-privadas. Para 2025, la alianza tiene por objeto elaborar y distribuir cinco nuevos tratamientos contra las bacterias farmacorresistentes identificadas por la OMS como las que representan una mayor amenaza.</w:t>
      </w:r>
    </w:p>
    <w:p w:rsidR="0016569A" w:rsidRPr="003E7977" w:rsidRDefault="0016569A" w:rsidP="003E7977">
      <w:pPr>
        <w:spacing w:after="240"/>
        <w:outlineLvl w:val="1"/>
        <w:rPr>
          <w:bCs/>
          <w:szCs w:val="24"/>
          <w:u w:val="single"/>
          <w:lang w:val="es-ES"/>
        </w:rPr>
      </w:pPr>
      <w:r w:rsidRPr="003E7977">
        <w:rPr>
          <w:bCs/>
          <w:szCs w:val="24"/>
          <w:u w:val="single"/>
          <w:lang w:val="es-ES"/>
        </w:rPr>
        <w:t>Situación MUNDIAL actual conforme la OMS:</w:t>
      </w:r>
    </w:p>
    <w:p w:rsidR="0016569A" w:rsidRPr="003E7977" w:rsidRDefault="0016569A" w:rsidP="003E7977">
      <w:pPr>
        <w:spacing w:after="240"/>
        <w:outlineLvl w:val="1"/>
        <w:rPr>
          <w:szCs w:val="24"/>
          <w:lang w:val="es-ES"/>
        </w:rPr>
      </w:pPr>
      <w:r w:rsidRPr="003E7977">
        <w:rPr>
          <w:bCs/>
          <w:szCs w:val="24"/>
          <w:lang w:val="es-ES"/>
        </w:rPr>
        <w:lastRenderedPageBreak/>
        <w:t xml:space="preserve">1) </w:t>
      </w:r>
      <w:r w:rsidRPr="003E7977">
        <w:rPr>
          <w:bCs/>
          <w:szCs w:val="24"/>
          <w:u w:val="single"/>
          <w:lang w:val="es-ES"/>
        </w:rPr>
        <w:t>Farmacorresistencia de las bacterias</w:t>
      </w:r>
      <w:r w:rsidRPr="003E7977">
        <w:rPr>
          <w:bCs/>
          <w:szCs w:val="24"/>
          <w:lang w:val="es-ES"/>
        </w:rPr>
        <w:t xml:space="preserve">. </w:t>
      </w:r>
      <w:r w:rsidRPr="003E7977">
        <w:rPr>
          <w:szCs w:val="24"/>
          <w:lang w:val="es-ES"/>
        </w:rPr>
        <w:t>Para las infecciones bacterianas comunes –como las infecciones urinarias, la septicemia, las infecciones de transmisión sexual y algunas formas de diarrea– se han observado en todo el mundo tasas elevadas de resistencia a los antibióticos utilizados habitualmente en los tratamientos, lo que indica que se están agotando los antibióticos eficaces. Por ejemplo, la tasa de resistencia al ciprofloxacino, un antibiótico utilizado habitualmente para tratar infecciones urinarias, oscilaba desde el 8,4% al 92,9% para </w:t>
      </w:r>
      <w:r w:rsidRPr="003E7977">
        <w:rPr>
          <w:i/>
          <w:iCs/>
          <w:szCs w:val="24"/>
          <w:lang w:val="es-ES"/>
        </w:rPr>
        <w:t>Escherichia coli</w:t>
      </w:r>
      <w:r w:rsidRPr="003E7977">
        <w:rPr>
          <w:szCs w:val="24"/>
          <w:lang w:val="es-ES"/>
        </w:rPr>
        <w:t> y del 4,1% to 79,4% para </w:t>
      </w:r>
      <w:r w:rsidRPr="003E7977">
        <w:rPr>
          <w:i/>
          <w:iCs/>
          <w:szCs w:val="24"/>
          <w:lang w:val="es-ES"/>
        </w:rPr>
        <w:t>Klebsiella pneumoniae</w:t>
      </w:r>
      <w:r w:rsidRPr="003E7977">
        <w:rPr>
          <w:szCs w:val="24"/>
          <w:lang w:val="es-ES"/>
        </w:rPr>
        <w:t> en los países que presentaron datos al Sistema Mundial de Vigilancia de la Resistencia a los Antimicrobianos y de su Uso (GLASS).</w:t>
      </w:r>
    </w:p>
    <w:p w:rsidR="0016569A" w:rsidRPr="003E7977" w:rsidRDefault="0016569A" w:rsidP="003E7977">
      <w:pPr>
        <w:spacing w:after="240"/>
        <w:rPr>
          <w:szCs w:val="24"/>
          <w:lang w:val="es-ES"/>
        </w:rPr>
      </w:pPr>
      <w:r w:rsidRPr="003E7977">
        <w:rPr>
          <w:i/>
          <w:iCs/>
          <w:szCs w:val="24"/>
          <w:lang w:val="es-ES"/>
        </w:rPr>
        <w:t>Klebsiella pneumoniae</w:t>
      </w:r>
      <w:r w:rsidRPr="003E7977">
        <w:rPr>
          <w:szCs w:val="24"/>
          <w:lang w:val="es-ES"/>
        </w:rPr>
        <w:t> es una bacteria intestinal común que puede provocar infecciones potencialmente mortales. La resistencia de </w:t>
      </w:r>
      <w:r w:rsidRPr="003E7977">
        <w:rPr>
          <w:i/>
          <w:iCs/>
          <w:szCs w:val="24"/>
          <w:lang w:val="es-ES"/>
        </w:rPr>
        <w:t>K. pneumoniae</w:t>
      </w:r>
      <w:r w:rsidRPr="003E7977">
        <w:rPr>
          <w:szCs w:val="24"/>
          <w:lang w:val="es-ES"/>
        </w:rPr>
        <w:t> al tratamiento de último recurso (los antibióticos carbapenémicos) se ha propagado a todas las regiones del mundo. </w:t>
      </w:r>
      <w:r w:rsidRPr="003E7977">
        <w:rPr>
          <w:i/>
          <w:iCs/>
          <w:szCs w:val="24"/>
          <w:lang w:val="es-ES"/>
        </w:rPr>
        <w:t>K. pneumoniae</w:t>
      </w:r>
      <w:r w:rsidRPr="003E7977">
        <w:rPr>
          <w:szCs w:val="24"/>
          <w:lang w:val="es-ES"/>
        </w:rPr>
        <w:t> es una importante causa de infecciones nosocomiales, como neumonía, septicemias o las infecciones de los recién nacidos y los pacientes ingresados en unidades de cuidados intensivos. En algunos países, los antibióticos carbapenémicos ya no son eficaces en más de la mitad de los pacientes con infecciones por </w:t>
      </w:r>
      <w:r w:rsidRPr="003E7977">
        <w:rPr>
          <w:i/>
          <w:iCs/>
          <w:szCs w:val="24"/>
          <w:lang w:val="es-ES"/>
        </w:rPr>
        <w:t>K. pneumoniae</w:t>
      </w:r>
      <w:r w:rsidRPr="003E7977">
        <w:rPr>
          <w:szCs w:val="24"/>
          <w:lang w:val="es-ES"/>
        </w:rPr>
        <w:t>, debido a la resistencia.</w:t>
      </w:r>
    </w:p>
    <w:p w:rsidR="0016569A" w:rsidRPr="003E7977" w:rsidRDefault="0016569A" w:rsidP="003E7977">
      <w:pPr>
        <w:spacing w:after="240"/>
        <w:rPr>
          <w:szCs w:val="24"/>
          <w:lang w:val="es-ES"/>
        </w:rPr>
      </w:pPr>
      <w:r w:rsidRPr="003E7977">
        <w:rPr>
          <w:szCs w:val="24"/>
          <w:lang w:val="es-ES"/>
        </w:rPr>
        <w:t>La resistencia de </w:t>
      </w:r>
      <w:r w:rsidRPr="003E7977">
        <w:rPr>
          <w:i/>
          <w:iCs/>
          <w:szCs w:val="24"/>
          <w:lang w:val="es-ES"/>
        </w:rPr>
        <w:t>E. coli</w:t>
      </w:r>
      <w:r w:rsidRPr="003E7977">
        <w:rPr>
          <w:szCs w:val="24"/>
          <w:lang w:val="es-ES"/>
        </w:rPr>
        <w:t> a las fluoroquinolonas, antibióticos utilizados en el tratamiento de las infecciones urinarias, está muy generalizada.</w:t>
      </w:r>
    </w:p>
    <w:p w:rsidR="0016569A" w:rsidRPr="003E7977" w:rsidRDefault="0016569A" w:rsidP="003E7977">
      <w:pPr>
        <w:spacing w:after="240"/>
        <w:rPr>
          <w:szCs w:val="24"/>
          <w:lang w:val="es-ES"/>
        </w:rPr>
      </w:pPr>
      <w:r w:rsidRPr="003E7977">
        <w:rPr>
          <w:szCs w:val="24"/>
          <w:lang w:val="es-ES"/>
        </w:rPr>
        <w:t>En muchas partes del mundo hay países en los que este tratamiento es ineficaz en más de la mitad de los pacientes.</w:t>
      </w:r>
    </w:p>
    <w:p w:rsidR="0016569A" w:rsidRPr="003E7977" w:rsidRDefault="0016569A" w:rsidP="003E7977">
      <w:pPr>
        <w:spacing w:after="240"/>
        <w:rPr>
          <w:szCs w:val="24"/>
          <w:lang w:val="es-ES"/>
        </w:rPr>
      </w:pPr>
      <w:r w:rsidRPr="003E7977">
        <w:rPr>
          <w:szCs w:val="24"/>
          <w:lang w:val="es-ES"/>
        </w:rPr>
        <w:t>La colistina es el único tratamiento de último recurso para infecciones potencialmente mortales por enterobacteriáceas (es decir, </w:t>
      </w:r>
      <w:r w:rsidRPr="003E7977">
        <w:rPr>
          <w:i/>
          <w:iCs/>
          <w:szCs w:val="24"/>
          <w:lang w:val="es-ES"/>
        </w:rPr>
        <w:t>E. coli</w:t>
      </w:r>
      <w:r w:rsidRPr="003E7977">
        <w:rPr>
          <w:szCs w:val="24"/>
          <w:lang w:val="es-ES"/>
        </w:rPr>
        <w:t>, </w:t>
      </w:r>
      <w:r w:rsidRPr="003E7977">
        <w:rPr>
          <w:i/>
          <w:iCs/>
          <w:szCs w:val="24"/>
          <w:lang w:val="es-ES"/>
        </w:rPr>
        <w:t>Klebsiella</w:t>
      </w:r>
      <w:r w:rsidRPr="003E7977">
        <w:rPr>
          <w:szCs w:val="24"/>
          <w:lang w:val="es-ES"/>
        </w:rPr>
        <w:t>, etc.) resistentes a los antibióticos carbapenémicos. También se han detectado bacterias resistentes a la colistina en varios países y regiones, lo que es causa de infecciones para las que no existe actualmente un tratamiento antibiótico eficaz.</w:t>
      </w:r>
    </w:p>
    <w:p w:rsidR="0016569A" w:rsidRPr="003E7977" w:rsidRDefault="0016569A" w:rsidP="003E7977">
      <w:pPr>
        <w:spacing w:after="240"/>
        <w:rPr>
          <w:szCs w:val="24"/>
          <w:lang w:val="es-ES"/>
        </w:rPr>
      </w:pPr>
      <w:r w:rsidRPr="003E7977">
        <w:rPr>
          <w:szCs w:val="24"/>
          <w:lang w:val="es-ES"/>
        </w:rPr>
        <w:t>Las bacterias de </w:t>
      </w:r>
      <w:r w:rsidRPr="003E7977">
        <w:rPr>
          <w:i/>
          <w:iCs/>
          <w:szCs w:val="24"/>
          <w:lang w:val="es-ES"/>
        </w:rPr>
        <w:t>Staphlylococcus aureus </w:t>
      </w:r>
      <w:r w:rsidRPr="003E7977">
        <w:rPr>
          <w:szCs w:val="24"/>
          <w:lang w:val="es-ES"/>
        </w:rPr>
        <w:t>forman parte de nuestra microbiota cutánea y son también causa habitual de infecciones tanto en la comunidad como en los centros de atención de salud. Los pacientes con infecciones por </w:t>
      </w:r>
      <w:r w:rsidRPr="003E7977">
        <w:rPr>
          <w:i/>
          <w:iCs/>
          <w:szCs w:val="24"/>
          <w:lang w:val="es-ES"/>
        </w:rPr>
        <w:t>S. aureus</w:t>
      </w:r>
      <w:r w:rsidRPr="003E7977">
        <w:rPr>
          <w:szCs w:val="24"/>
          <w:lang w:val="es-ES"/>
        </w:rPr>
        <w:t> resistente a la meticilina (SARM) tienen una probabilidad de morir un 64% mayor que los pacientes con infecciones farmacosensibles.</w:t>
      </w:r>
    </w:p>
    <w:p w:rsidR="0016569A" w:rsidRPr="003E7977" w:rsidRDefault="0016569A" w:rsidP="003E7977">
      <w:pPr>
        <w:spacing w:after="240"/>
        <w:rPr>
          <w:szCs w:val="24"/>
          <w:lang w:val="es-ES"/>
        </w:rPr>
      </w:pPr>
      <w:r w:rsidRPr="003E7977">
        <w:rPr>
          <w:szCs w:val="24"/>
          <w:lang w:val="es-ES"/>
        </w:rPr>
        <w:t>En 2019 se incluyó en el marco de seguimiento de los ODS un nuevo indicador sobre la RAM. Mediante este indicador se efectúa el seguimiento de la frecuencia de las septicemias debidas a dos patógenos farmacorresistentes concretos: </w:t>
      </w:r>
      <w:r w:rsidRPr="003E7977">
        <w:rPr>
          <w:i/>
          <w:iCs/>
          <w:szCs w:val="24"/>
          <w:lang w:val="es-ES"/>
        </w:rPr>
        <w:t>Staphylococcus aureus</w:t>
      </w:r>
      <w:r w:rsidRPr="003E7977">
        <w:rPr>
          <w:szCs w:val="24"/>
          <w:lang w:val="es-ES"/>
        </w:rPr>
        <w:t> resistente a la meticilina (SARM) y </w:t>
      </w:r>
      <w:r w:rsidRPr="003E7977">
        <w:rPr>
          <w:i/>
          <w:iCs/>
          <w:szCs w:val="24"/>
          <w:lang w:val="es-ES"/>
        </w:rPr>
        <w:t>E. coli</w:t>
      </w:r>
      <w:r w:rsidRPr="003E7977">
        <w:rPr>
          <w:szCs w:val="24"/>
          <w:lang w:val="es-ES"/>
        </w:rPr>
        <w:t> resistente a cefalosporinas de tercera generación (3GC). Ese mismo año 25 países, territorios y zonas presentaron datos al GLASS sobre septicemias debidas al SARM y 49 países presentaron datos sobre septicemias debidas a </w:t>
      </w:r>
      <w:r w:rsidRPr="003E7977">
        <w:rPr>
          <w:i/>
          <w:iCs/>
          <w:szCs w:val="24"/>
          <w:lang w:val="es-ES"/>
        </w:rPr>
        <w:t>E. coli</w:t>
      </w:r>
      <w:r w:rsidRPr="003E7977">
        <w:rPr>
          <w:szCs w:val="24"/>
          <w:lang w:val="es-ES"/>
        </w:rPr>
        <w:t>. Si bien los datos todavía no son representativos en el ámbito nacional, la tasa mediana observada para </w:t>
      </w:r>
      <w:r w:rsidRPr="003E7977">
        <w:rPr>
          <w:i/>
          <w:iCs/>
          <w:szCs w:val="24"/>
          <w:lang w:val="es-ES"/>
        </w:rPr>
        <w:t>S. aureus</w:t>
      </w:r>
      <w:r w:rsidRPr="003E7977">
        <w:rPr>
          <w:szCs w:val="24"/>
          <w:lang w:val="es-ES"/>
        </w:rPr>
        <w:t> resistente a la meticilina fue del 12,11% (recorrido intercuartílico (RIC) 6,4–26,4) y para la de </w:t>
      </w:r>
      <w:r w:rsidRPr="003E7977">
        <w:rPr>
          <w:i/>
          <w:iCs/>
          <w:szCs w:val="24"/>
          <w:lang w:val="es-ES"/>
        </w:rPr>
        <w:t>E. coli</w:t>
      </w:r>
      <w:r w:rsidRPr="003E7977">
        <w:rPr>
          <w:szCs w:val="24"/>
          <w:lang w:val="es-ES"/>
        </w:rPr>
        <w:t> resistente a cefalosporinas de tercera generación fue del 36,0% (RIC 15,2–63,0).</w:t>
      </w:r>
    </w:p>
    <w:p w:rsidR="0016569A" w:rsidRPr="003E7977" w:rsidRDefault="0016569A" w:rsidP="003E7977">
      <w:pPr>
        <w:spacing w:after="240"/>
        <w:rPr>
          <w:szCs w:val="24"/>
          <w:lang w:val="es-ES"/>
        </w:rPr>
      </w:pPr>
      <w:r w:rsidRPr="003E7977">
        <w:rPr>
          <w:szCs w:val="24"/>
          <w:lang w:val="es-ES"/>
        </w:rPr>
        <w:t>La resistencia generalizada en cepas altamente variables de </w:t>
      </w:r>
      <w:r w:rsidRPr="003E7977">
        <w:rPr>
          <w:i/>
          <w:iCs/>
          <w:szCs w:val="24"/>
          <w:lang w:val="es-ES"/>
        </w:rPr>
        <w:t>N. gonorrhoeae</w:t>
      </w:r>
      <w:r w:rsidRPr="003E7977">
        <w:rPr>
          <w:szCs w:val="24"/>
          <w:lang w:val="es-ES"/>
        </w:rPr>
        <w:t> ha comprometido la gestión y control de la gonorrea. La resistencia a las sulfamidas, las penicilinas, las tetraciclinas, los macrólidos, las fluoroquinolonas y las cefalosporinas de generaciones tempranas ha progresado rápidamente. Actualmente, en la mayoría de los países, la cefalosporina de amplio espectro inyectable (ceftriaxona) es la única monoterapia empírica que queda contra la gonorrea.</w:t>
      </w:r>
    </w:p>
    <w:p w:rsidR="0016569A" w:rsidRPr="003E7977" w:rsidRDefault="0016569A" w:rsidP="003E7977">
      <w:pPr>
        <w:spacing w:after="240"/>
        <w:outlineLvl w:val="2"/>
        <w:rPr>
          <w:bCs/>
          <w:szCs w:val="24"/>
          <w:lang w:val="es-ES"/>
        </w:rPr>
      </w:pPr>
      <w:r w:rsidRPr="003E7977">
        <w:rPr>
          <w:bCs/>
          <w:szCs w:val="24"/>
          <w:u w:val="single"/>
          <w:lang w:val="es-ES"/>
        </w:rPr>
        <w:t>2) Farmacorresistencia de </w:t>
      </w:r>
      <w:r w:rsidRPr="003E7977">
        <w:rPr>
          <w:bCs/>
          <w:i/>
          <w:iCs/>
          <w:szCs w:val="24"/>
          <w:u w:val="single"/>
          <w:lang w:val="es-ES"/>
        </w:rPr>
        <w:t>Mycobacterium tuberculosi</w:t>
      </w:r>
      <w:r w:rsidRPr="003E7977">
        <w:rPr>
          <w:bCs/>
          <w:i/>
          <w:iCs/>
          <w:szCs w:val="24"/>
          <w:lang w:val="es-ES"/>
        </w:rPr>
        <w:t>s</w:t>
      </w:r>
    </w:p>
    <w:p w:rsidR="0016569A" w:rsidRPr="003E7977" w:rsidRDefault="0016569A" w:rsidP="003E7977">
      <w:pPr>
        <w:spacing w:after="240"/>
        <w:rPr>
          <w:szCs w:val="24"/>
          <w:lang w:val="es-ES"/>
        </w:rPr>
      </w:pPr>
      <w:r w:rsidRPr="003E7977">
        <w:rPr>
          <w:szCs w:val="24"/>
          <w:lang w:val="es-ES"/>
        </w:rPr>
        <w:lastRenderedPageBreak/>
        <w:t>Las cepas de </w:t>
      </w:r>
      <w:r w:rsidRPr="003E7977">
        <w:rPr>
          <w:i/>
          <w:iCs/>
          <w:szCs w:val="24"/>
          <w:lang w:val="es-ES"/>
        </w:rPr>
        <w:t>Mycobacterium tuberculosis </w:t>
      </w:r>
      <w:r w:rsidRPr="003E7977">
        <w:rPr>
          <w:szCs w:val="24"/>
          <w:lang w:val="es-ES"/>
        </w:rPr>
        <w:t>resistentes a los antibióticos son una amenaza para los avances en la contención de la epidemia mundial de tuberculosis. La OMS estima que, en 2018, se detectó en todo el mundo aproximadamente medio millón de nuevos casos de tuberculosis resistente a la rifampicina (TBRR), la gran mayoría de los cuales presentan tuberculosis multirresistente (TBMR), una forma de tuberculosis resistente a los dos antituberculosos más potentes. Del cerca de medio millón de personas que contrajeron TBMR o TBRR en 2018 solo de detectó y notificó un tercio. La TBMR requiere tratamientos más prolongados, que son menos eficaces y mucho más caros que los de la tuberculosis no resistente. Menos del 60% de las personas que han recibido tratamiento contra la TBMR o la TBRR se cura por completo.</w:t>
      </w:r>
    </w:p>
    <w:p w:rsidR="0016569A" w:rsidRPr="003E7977" w:rsidRDefault="0016569A" w:rsidP="003E7977">
      <w:pPr>
        <w:spacing w:after="240"/>
        <w:rPr>
          <w:szCs w:val="24"/>
          <w:lang w:val="es-ES"/>
        </w:rPr>
      </w:pPr>
      <w:r w:rsidRPr="003E7977">
        <w:rPr>
          <w:szCs w:val="24"/>
          <w:lang w:val="es-ES"/>
        </w:rPr>
        <w:t>En 2018, según las estimaciones, un 3,4% de los nuevos casos de tuberculosis tenían TBMR o TBRR, porcentaje que ascendía al 18% en los casos que ya habían sido tratados anteriormente, por lo que la aparición de la resistencia a los nuevos medicamentos de «último recurso» contra la tuberculosis farmacorresistente supone una amenaza importante.</w:t>
      </w:r>
    </w:p>
    <w:p w:rsidR="0016569A" w:rsidRPr="003E7977" w:rsidRDefault="0016569A" w:rsidP="003E7977">
      <w:pPr>
        <w:spacing w:after="240"/>
        <w:outlineLvl w:val="2"/>
        <w:rPr>
          <w:bCs/>
          <w:szCs w:val="24"/>
          <w:u w:val="single"/>
          <w:lang w:val="es-ES"/>
        </w:rPr>
      </w:pPr>
      <w:r w:rsidRPr="003E7977">
        <w:rPr>
          <w:bCs/>
          <w:szCs w:val="24"/>
          <w:u w:val="single"/>
          <w:lang w:val="es-ES"/>
        </w:rPr>
        <w:t>3) Farmacorresistencia de los virus </w:t>
      </w:r>
    </w:p>
    <w:p w:rsidR="0016569A" w:rsidRPr="003E7977" w:rsidRDefault="0016569A" w:rsidP="003E7977">
      <w:pPr>
        <w:spacing w:after="240"/>
        <w:rPr>
          <w:szCs w:val="24"/>
          <w:lang w:val="es-ES"/>
        </w:rPr>
      </w:pPr>
      <w:r w:rsidRPr="003E7977">
        <w:rPr>
          <w:szCs w:val="24"/>
          <w:lang w:val="es-ES"/>
        </w:rPr>
        <w:t>La resistencia a los antivíricos es motivo creciente de preocupación en las poblaciones de pacientes inmunodeprimidos, en los que la reproducción vírica continua y la exposición prolongada a fármacos conducen a la selección de cepas resistentes. Se ha detectado resistencia a la mayoría de los antivíricos, incluidos los antirretrovíricos.</w:t>
      </w:r>
    </w:p>
    <w:p w:rsidR="0016569A" w:rsidRPr="003E7977" w:rsidRDefault="0016569A" w:rsidP="003E7977">
      <w:pPr>
        <w:spacing w:after="240"/>
        <w:rPr>
          <w:szCs w:val="24"/>
          <w:lang w:val="es-ES"/>
        </w:rPr>
      </w:pPr>
      <w:r w:rsidRPr="003E7977">
        <w:rPr>
          <w:szCs w:val="24"/>
          <w:lang w:val="es-ES"/>
        </w:rPr>
        <w:t>Todos los antirretrovíricos, especialmente las clases más recientes, corren el riesgo de volverse parcial o totalmente inactivos por la aparición del VIH farmacorresistente. Los pacientes que reciben tratamientos antirretrovíricos pueden adquirir VIH farmacorresistentes, pero también es posible infectarse por un VIH que ya es farmacorresistente. Los niveles de farmacorresistencia del VIH pretratamiento a los inhibidores no nucleosídicos de la retrotranscriptasa (INNRT) entre adultos que inician un tratamiento de primera línea superaban el 10% en la mayoría de los países sometidos a seguimiento en África, Asia y América Latina. La prevalencia de la farmacorresistencia pretratamiento entre los menores de un año es sumamente alta. En el África Subsahariana, más del 50% de los menores de un año recientemente diagnosticados con VIH son portadores de un virus resistente a los INNRT. A partir de estas conclusiones, en las últimas directrices de la OMS sobre los antirretrovíricos se recomienda la adopción de un nuevo fármaco, dolutegravir, como tratamiento preferente de primera línea para adultos y niños. El uso de dicho fármaco es especialmente urgente para evitar los efectos negativos de la resistencia a los INNRT.</w:t>
      </w:r>
    </w:p>
    <w:p w:rsidR="0016569A" w:rsidRPr="003E7977" w:rsidRDefault="0016569A" w:rsidP="003E7977">
      <w:pPr>
        <w:spacing w:after="240"/>
        <w:rPr>
          <w:szCs w:val="24"/>
          <w:lang w:val="es-ES"/>
        </w:rPr>
      </w:pPr>
      <w:r w:rsidRPr="003E7977">
        <w:rPr>
          <w:szCs w:val="24"/>
          <w:lang w:val="es-ES"/>
        </w:rPr>
        <w:t>El aumento de la resistencia tiene importantes repercusiones económicas, dado que los regímenes de segunda y tercera línea son mucho más caros que los fármacos de primera línea. El programa de la OMS sobre farmacorresistencia del VIH efectúa el seguimiento de la transmisión y aparición de la resistencia a fármacos contra el VIH, tanto antiguos como recientes, en todo el mundo.</w:t>
      </w:r>
    </w:p>
    <w:p w:rsidR="0016569A" w:rsidRPr="003E7977" w:rsidRDefault="0016569A" w:rsidP="003E7977">
      <w:pPr>
        <w:spacing w:after="240"/>
        <w:outlineLvl w:val="2"/>
        <w:rPr>
          <w:bCs/>
          <w:szCs w:val="24"/>
          <w:u w:val="single"/>
          <w:lang w:val="es-ES"/>
        </w:rPr>
      </w:pPr>
      <w:r w:rsidRPr="003E7977">
        <w:rPr>
          <w:bCs/>
          <w:szCs w:val="24"/>
          <w:u w:val="single"/>
          <w:lang w:val="es-ES"/>
        </w:rPr>
        <w:t>4) Farmacorresistencia de los parásitos causantes del paludismo </w:t>
      </w:r>
    </w:p>
    <w:p w:rsidR="0016569A" w:rsidRPr="003E7977" w:rsidRDefault="0016569A" w:rsidP="003E7977">
      <w:pPr>
        <w:spacing w:after="240"/>
        <w:rPr>
          <w:szCs w:val="24"/>
          <w:lang w:val="es-ES"/>
        </w:rPr>
      </w:pPr>
      <w:r w:rsidRPr="003E7977">
        <w:rPr>
          <w:szCs w:val="24"/>
          <w:lang w:val="es-ES"/>
        </w:rPr>
        <w:t>La aparición de parásitos farmacorresistentes constituye una de las mayores amenazas para el control antipalúdico y provoca un aumento de la morbilidad y mortalidad por paludismo. Los tratamientos combinados basados en la artemisinina (TCA) son los tratamientos de primera línea recomendados contra el paludismo por </w:t>
      </w:r>
      <w:r w:rsidRPr="003E7977">
        <w:rPr>
          <w:i/>
          <w:iCs/>
          <w:szCs w:val="24"/>
          <w:lang w:val="es-ES"/>
        </w:rPr>
        <w:t>P. falciparum</w:t>
      </w:r>
      <w:r w:rsidRPr="003E7977">
        <w:rPr>
          <w:szCs w:val="24"/>
          <w:lang w:val="es-ES"/>
        </w:rPr>
        <w:t xml:space="preserve"> en ausencia de complicaciones y se utilizan en la mayoría de los países en que el paludismo es endémico. Los TCA combinan un componente de artemisinina con un fármaco asociado. En algunos países de las regiones de la OMS del Pacífico Occidental y de Asia Sudoriental (Camboya, Myanmar, República Democrática Popular Lao, Tailandia y Viet Nam) se ha confirmado la resistencia parcial a la artemisinina y la resistencia a varios de </w:t>
      </w:r>
      <w:r w:rsidRPr="003E7977">
        <w:rPr>
          <w:szCs w:val="24"/>
          <w:lang w:val="es-ES"/>
        </w:rPr>
        <w:lastRenderedPageBreak/>
        <w:t>los fármacos asociados de los TCA mediante estudios realizados entre 2001 y 2019. Ello aumenta la dificultad en la selección del tratamiento adecuado y requiere un seguimiento estrecho.</w:t>
      </w:r>
    </w:p>
    <w:p w:rsidR="0016569A" w:rsidRPr="003E7977" w:rsidRDefault="0016569A" w:rsidP="003E7977">
      <w:pPr>
        <w:spacing w:after="240"/>
        <w:rPr>
          <w:szCs w:val="24"/>
          <w:lang w:val="es-ES"/>
        </w:rPr>
      </w:pPr>
      <w:r w:rsidRPr="003E7977">
        <w:rPr>
          <w:szCs w:val="24"/>
          <w:lang w:val="es-ES"/>
        </w:rPr>
        <w:t>En la Región del Mediterráneo Oriental de la OMS, la resistencia de </w:t>
      </w:r>
      <w:r w:rsidRPr="003E7977">
        <w:rPr>
          <w:i/>
          <w:iCs/>
          <w:szCs w:val="24"/>
          <w:lang w:val="es-ES"/>
        </w:rPr>
        <w:t>P. falciparum </w:t>
      </w:r>
      <w:r w:rsidRPr="003E7977">
        <w:rPr>
          <w:szCs w:val="24"/>
          <w:lang w:val="es-ES"/>
        </w:rPr>
        <w:t>a la sulfadoxina-pirimetamina condujo al fracaso del tratamiento con artesunato-sulfadoxina-pirimetamina en algunos países.</w:t>
      </w:r>
    </w:p>
    <w:p w:rsidR="0016569A" w:rsidRPr="003E7977" w:rsidRDefault="0016569A" w:rsidP="003E7977">
      <w:pPr>
        <w:spacing w:after="240"/>
        <w:rPr>
          <w:szCs w:val="24"/>
          <w:lang w:val="es-ES"/>
        </w:rPr>
      </w:pPr>
      <w:r w:rsidRPr="003E7977">
        <w:rPr>
          <w:szCs w:val="24"/>
          <w:lang w:val="es-ES"/>
        </w:rPr>
        <w:t>En África acaban de publicarse datos probatorios que muestran la aparición de mutaciones vinculadas a la resistencia parcial a la artemisinina en Ruanda. De momento, los TCA que se han sometido a prueba siguen siendo sumamente eficaces. Ahora bien, si continúa propagándose la resistencia a la artemisinina y a los fármacos asociados de los TCA podría plantearse un importante problema de salud pública y podrían ponerse en peligro importantes logros en el control antipalúdico.</w:t>
      </w:r>
      <w:r w:rsidRPr="003E7977">
        <w:rPr>
          <w:b/>
          <w:bCs/>
          <w:szCs w:val="24"/>
          <w:lang w:val="es-ES"/>
        </w:rPr>
        <w:t> </w:t>
      </w:r>
    </w:p>
    <w:p w:rsidR="0016569A" w:rsidRPr="003E7977" w:rsidRDefault="0016569A" w:rsidP="003E7977">
      <w:pPr>
        <w:spacing w:after="240"/>
        <w:outlineLvl w:val="2"/>
        <w:rPr>
          <w:bCs/>
          <w:szCs w:val="24"/>
          <w:u w:val="single"/>
          <w:lang w:val="es-ES"/>
        </w:rPr>
      </w:pPr>
      <w:r w:rsidRPr="003E7977">
        <w:rPr>
          <w:bCs/>
          <w:szCs w:val="24"/>
          <w:u w:val="single"/>
          <w:lang w:val="es-ES"/>
        </w:rPr>
        <w:t>5) Farmacorresistencia de los hongos</w:t>
      </w:r>
    </w:p>
    <w:p w:rsidR="0016569A" w:rsidRPr="003E7977" w:rsidRDefault="0016569A" w:rsidP="003E7977">
      <w:pPr>
        <w:spacing w:after="240"/>
        <w:rPr>
          <w:szCs w:val="24"/>
          <w:lang w:val="es-ES"/>
        </w:rPr>
      </w:pPr>
      <w:r w:rsidRPr="003E7977">
        <w:rPr>
          <w:szCs w:val="24"/>
          <w:lang w:val="es-ES"/>
        </w:rPr>
        <w:t>La prevalencia de las infecciones fúngicas farmacorresistentes va en aumento y empeora una situación terapéutica ya difícil. Muchas infecciones fúngicas actuales presentan problemas de tratamiento, como la toxicidad, especialmente en pacientes con otras infecciones subyacentes (por ejemplo, el VIH). La farmacorresistencia de </w:t>
      </w:r>
      <w:r w:rsidRPr="003E7977">
        <w:rPr>
          <w:i/>
          <w:iCs/>
          <w:szCs w:val="24"/>
          <w:lang w:val="es-ES"/>
        </w:rPr>
        <w:t>Candida auris</w:t>
      </w:r>
      <w:r w:rsidRPr="003E7977">
        <w:rPr>
          <w:szCs w:val="24"/>
          <w:lang w:val="es-ES"/>
        </w:rPr>
        <w:t>, una de las causas más habituales de infección fúngica invasiva, ya es generalizada y se tiene constancia creciente de su resistencia al fluconazol, la amfotericina B y el voriconazol, así como de la resistencia emergente a la caspofungina. Ello lleva a más dificultades en el tratamiento de las infecciones fúngicas, fracasos terapéuticos, estancias hospitalarias más largas y opciones terapéuticas mucho más caras. La OMS ha emprendido un examen exhaustivo de las infecciones fúngicas a escala mundial y publicará una lista de patógenos fúngicos con importancia para la salud pública, junto con un análisis de los antifúngicos en fase de desarrollo</w:t>
      </w:r>
      <w:r w:rsidR="00D33C80" w:rsidRPr="003E7977">
        <w:rPr>
          <w:szCs w:val="24"/>
          <w:lang w:val="es-ES"/>
        </w:rPr>
        <w:t>.</w:t>
      </w:r>
      <w:r w:rsidRPr="003E7977">
        <w:rPr>
          <w:szCs w:val="24"/>
          <w:lang w:val="es-ES"/>
        </w:rPr>
        <w:t> </w:t>
      </w:r>
    </w:p>
    <w:p w:rsidR="0016569A" w:rsidRPr="003E7977" w:rsidRDefault="00237C13" w:rsidP="003E7977">
      <w:pPr>
        <w:spacing w:after="240"/>
        <w:rPr>
          <w:b/>
          <w:szCs w:val="24"/>
          <w:lang w:val="es-ES"/>
        </w:rPr>
      </w:pPr>
      <w:r w:rsidRPr="003E7977">
        <w:rPr>
          <w:szCs w:val="24"/>
          <w:lang w:val="es-MX"/>
        </w:rPr>
        <w:tab/>
      </w:r>
      <w:r w:rsidR="00D33C80" w:rsidRPr="003E7977">
        <w:rPr>
          <w:szCs w:val="24"/>
          <w:lang w:val="es-MX"/>
        </w:rPr>
        <w:t>Que</w:t>
      </w:r>
      <w:r w:rsidRPr="003E7977">
        <w:rPr>
          <w:szCs w:val="24"/>
          <w:lang w:val="es-MX"/>
        </w:rPr>
        <w:t xml:space="preserve"> es</w:t>
      </w:r>
      <w:r w:rsidR="0016569A" w:rsidRPr="003E7977">
        <w:rPr>
          <w:szCs w:val="24"/>
          <w:lang w:val="es-ES"/>
        </w:rPr>
        <w:t xml:space="preserve"> dable destacar que, a nivel nacional nuestro país viene adhiriendo a las políticas internacionales y llevando a cabo un trabajo en la problemática a través de la </w:t>
      </w:r>
      <w:r w:rsidR="0016569A" w:rsidRPr="003E7977">
        <w:rPr>
          <w:rStyle w:val="Textoennegrita"/>
          <w:b w:val="0"/>
          <w:szCs w:val="24"/>
          <w:shd w:val="clear" w:color="auto" w:fill="FFFFFF"/>
        </w:rPr>
        <w:t>Comisión Nacional de Control de la Resistencia Antimicrobiana</w:t>
      </w:r>
      <w:r w:rsidR="00D33C80" w:rsidRPr="003E7977">
        <w:rPr>
          <w:rStyle w:val="Textoennegrita"/>
          <w:b w:val="0"/>
          <w:szCs w:val="24"/>
          <w:shd w:val="clear" w:color="auto" w:fill="FFFFFF"/>
        </w:rPr>
        <w:t>;</w:t>
      </w:r>
    </w:p>
    <w:p w:rsidR="00C03B15" w:rsidRPr="003E7977" w:rsidRDefault="00237C13" w:rsidP="003E7977">
      <w:pPr>
        <w:rPr>
          <w:szCs w:val="24"/>
          <w:lang w:val="es-MX"/>
        </w:rPr>
      </w:pPr>
      <w:r w:rsidRPr="003E7977">
        <w:rPr>
          <w:szCs w:val="24"/>
          <w:lang w:val="es-ES"/>
        </w:rPr>
        <w:tab/>
      </w:r>
      <w:r w:rsidR="00D33C80" w:rsidRPr="003E7977">
        <w:rPr>
          <w:szCs w:val="24"/>
          <w:lang w:val="es-ES"/>
        </w:rPr>
        <w:t>Que</w:t>
      </w:r>
      <w:r w:rsidR="0016569A" w:rsidRPr="003E7977">
        <w:rPr>
          <w:szCs w:val="24"/>
          <w:lang w:val="es-ES"/>
        </w:rPr>
        <w:t xml:space="preserve"> es sumamente importante asumir desde nuestra ciudad este tema esencial central, actual y primordial de la Agenda de Salud mundial resultando necesario aunar políticas para combatir este verdadero flagelo que preocupa</w:t>
      </w:r>
      <w:r w:rsidRPr="003E7977">
        <w:rPr>
          <w:szCs w:val="24"/>
          <w:lang w:val="es-ES"/>
        </w:rPr>
        <w:t>;</w:t>
      </w:r>
      <w:r w:rsidR="0016569A" w:rsidRPr="003E7977">
        <w:rPr>
          <w:szCs w:val="24"/>
          <w:lang w:val="es-ES"/>
        </w:rPr>
        <w:t xml:space="preserve"> </w:t>
      </w:r>
    </w:p>
    <w:p w:rsidR="00C03B15" w:rsidRPr="003E7977" w:rsidRDefault="00C03B15" w:rsidP="003E7977">
      <w:pPr>
        <w:rPr>
          <w:szCs w:val="24"/>
          <w:lang w:val="es-MX"/>
        </w:rPr>
      </w:pPr>
    </w:p>
    <w:p w:rsidR="003B19B7" w:rsidRPr="003E7977" w:rsidRDefault="003B19B7" w:rsidP="003E7977">
      <w:pPr>
        <w:rPr>
          <w:szCs w:val="24"/>
          <w:lang w:val="es-MX"/>
        </w:rPr>
      </w:pPr>
    </w:p>
    <w:p w:rsidR="00C03B15" w:rsidRPr="003E7977" w:rsidRDefault="00C03B15" w:rsidP="003E7977">
      <w:pPr>
        <w:rPr>
          <w:szCs w:val="24"/>
          <w:lang w:val="es-MX"/>
        </w:rPr>
      </w:pPr>
      <w:r w:rsidRPr="003E7977">
        <w:rPr>
          <w:szCs w:val="24"/>
          <w:lang w:val="es-MX"/>
        </w:rPr>
        <w:tab/>
        <w:t xml:space="preserve">Por lo expuesto, esta Comisión de </w:t>
      </w:r>
      <w:r w:rsidR="0016569A" w:rsidRPr="003E7977">
        <w:rPr>
          <w:szCs w:val="24"/>
          <w:lang w:val="es-MX"/>
        </w:rPr>
        <w:t>Salud</w:t>
      </w:r>
      <w:r w:rsidRPr="003E7977">
        <w:rPr>
          <w:szCs w:val="24"/>
          <w:lang w:val="es-MX"/>
        </w:rPr>
        <w:t xml:space="preserve"> aconseja la sanción de la siguiente</w:t>
      </w:r>
    </w:p>
    <w:p w:rsidR="00C03B15" w:rsidRPr="003E7977" w:rsidRDefault="00C03B15" w:rsidP="003E7977">
      <w:pPr>
        <w:rPr>
          <w:szCs w:val="24"/>
          <w:lang w:val="es-MX"/>
        </w:rPr>
      </w:pPr>
    </w:p>
    <w:p w:rsidR="003B19B7" w:rsidRPr="003E7977" w:rsidRDefault="003B19B7" w:rsidP="003E7977">
      <w:pPr>
        <w:rPr>
          <w:szCs w:val="24"/>
          <w:lang w:val="es-MX"/>
        </w:rPr>
      </w:pPr>
    </w:p>
    <w:p w:rsidR="00C03B15" w:rsidRPr="003E7977" w:rsidRDefault="00C03B15" w:rsidP="003E7977">
      <w:pPr>
        <w:rPr>
          <w:szCs w:val="24"/>
          <w:lang w:val="es-MX"/>
        </w:rPr>
      </w:pPr>
    </w:p>
    <w:p w:rsidR="00C03B15" w:rsidRPr="003E7977" w:rsidRDefault="00C03B15" w:rsidP="003E7977">
      <w:pPr>
        <w:jc w:val="center"/>
        <w:rPr>
          <w:b/>
          <w:szCs w:val="24"/>
          <w:lang w:val="es-MX"/>
        </w:rPr>
      </w:pPr>
      <w:bookmarkStart w:id="1" w:name="DLey"/>
      <w:bookmarkEnd w:id="1"/>
      <w:r w:rsidRPr="003E7977">
        <w:rPr>
          <w:b/>
          <w:szCs w:val="24"/>
          <w:lang w:val="es-MX"/>
        </w:rPr>
        <w:t>LEY</w:t>
      </w:r>
    </w:p>
    <w:p w:rsidR="00C03B15" w:rsidRPr="003E7977" w:rsidRDefault="00C03B15" w:rsidP="003E7977">
      <w:pPr>
        <w:rPr>
          <w:b/>
          <w:szCs w:val="24"/>
          <w:lang w:val="es-MX"/>
        </w:rPr>
      </w:pPr>
    </w:p>
    <w:p w:rsidR="003B19B7" w:rsidRPr="003E7977" w:rsidRDefault="003B19B7" w:rsidP="003E7977">
      <w:pPr>
        <w:rPr>
          <w:b/>
          <w:szCs w:val="24"/>
          <w:lang w:val="es-MX"/>
        </w:rPr>
      </w:pPr>
    </w:p>
    <w:p w:rsidR="0016569A" w:rsidRPr="003E7977" w:rsidRDefault="0016569A" w:rsidP="003E7977">
      <w:pPr>
        <w:rPr>
          <w:szCs w:val="24"/>
          <w:lang w:val="es-ES"/>
        </w:rPr>
      </w:pPr>
      <w:r w:rsidRPr="003E7977">
        <w:rPr>
          <w:szCs w:val="24"/>
          <w:lang w:val="es-MX"/>
        </w:rPr>
        <w:t xml:space="preserve">Artículo 1°. - </w:t>
      </w:r>
      <w:r w:rsidR="005E649D" w:rsidRPr="003E7977">
        <w:rPr>
          <w:szCs w:val="24"/>
          <w:lang w:val="es-MX"/>
        </w:rPr>
        <w:t>Instituyese</w:t>
      </w:r>
      <w:r w:rsidRPr="003E7977">
        <w:rPr>
          <w:szCs w:val="24"/>
          <w:lang w:val="es-MX"/>
        </w:rPr>
        <w:t xml:space="preserve"> </w:t>
      </w:r>
      <w:r w:rsidRPr="003E7977">
        <w:rPr>
          <w:szCs w:val="24"/>
        </w:rPr>
        <w:t>en el ámbito de la</w:t>
      </w:r>
      <w:r w:rsidRPr="003E7977">
        <w:rPr>
          <w:szCs w:val="24"/>
          <w:lang w:val="es-MX"/>
        </w:rPr>
        <w:t xml:space="preserve"> Ciudad Autónoma de Buenos Aires, el 21 de junio de cada año como el día de </w:t>
      </w:r>
      <w:r w:rsidRPr="003E7977">
        <w:rPr>
          <w:szCs w:val="24"/>
          <w:lang w:val="es-ES"/>
        </w:rPr>
        <w:t xml:space="preserve">la Concientización sobre el Uso de Antimicrobianos, con el objeto principal de promover la prevención y el control de la resistencia antimicrobiana y fortalecer la vigilancia de su uso apropiado promoviendo su racionalidad. </w:t>
      </w:r>
    </w:p>
    <w:p w:rsidR="003B19B7" w:rsidRPr="003E7977" w:rsidRDefault="003B19B7" w:rsidP="003E7977">
      <w:pPr>
        <w:rPr>
          <w:szCs w:val="24"/>
          <w:shd w:val="clear" w:color="auto" w:fill="FFFFFF"/>
        </w:rPr>
      </w:pPr>
    </w:p>
    <w:p w:rsidR="0016569A" w:rsidRPr="003E7977" w:rsidRDefault="0016569A" w:rsidP="003E7977">
      <w:pPr>
        <w:rPr>
          <w:szCs w:val="24"/>
          <w:shd w:val="clear" w:color="auto" w:fill="FFFFFF"/>
        </w:rPr>
      </w:pPr>
      <w:r w:rsidRPr="003E7977">
        <w:rPr>
          <w:szCs w:val="24"/>
          <w:shd w:val="clear" w:color="auto" w:fill="FFFFFF"/>
        </w:rPr>
        <w:t>Artículo 2º.- El Poder Ejecutivo podrá promover la implementación de actividades y campañas para informar y concientizar sobre el uso racional de antimicrobianos.</w:t>
      </w:r>
    </w:p>
    <w:p w:rsidR="003B19B7" w:rsidRPr="003E7977" w:rsidRDefault="003B19B7" w:rsidP="003E7977">
      <w:pPr>
        <w:rPr>
          <w:szCs w:val="24"/>
          <w:shd w:val="clear" w:color="auto" w:fill="FFFFFF"/>
        </w:rPr>
      </w:pPr>
    </w:p>
    <w:p w:rsidR="0016569A" w:rsidRPr="003E7977" w:rsidRDefault="0016569A" w:rsidP="003E7977">
      <w:pPr>
        <w:rPr>
          <w:szCs w:val="24"/>
          <w:lang w:val="es-ES"/>
        </w:rPr>
      </w:pPr>
      <w:r w:rsidRPr="003E7977">
        <w:rPr>
          <w:szCs w:val="24"/>
          <w:shd w:val="clear" w:color="auto" w:fill="FFFFFF"/>
        </w:rPr>
        <w:lastRenderedPageBreak/>
        <w:t>Artículo 3º.- A</w:t>
      </w:r>
      <w:r w:rsidRPr="003E7977">
        <w:rPr>
          <w:szCs w:val="24"/>
          <w:lang w:val="es-ES"/>
        </w:rPr>
        <w:t xml:space="preserve">dhiérase a la conmemoración de la Semana Mundial de Concientización sobre el uso de antimicrobianos que se celebra desde el 18 al 24 de noviembre de cada año.  </w:t>
      </w:r>
    </w:p>
    <w:p w:rsidR="00C03B15" w:rsidRPr="003E7977" w:rsidRDefault="00C03B15" w:rsidP="003E7977">
      <w:pPr>
        <w:rPr>
          <w:szCs w:val="24"/>
          <w:lang w:val="es-ES"/>
        </w:rPr>
      </w:pPr>
    </w:p>
    <w:p w:rsidR="00C03B15" w:rsidRPr="003E7977" w:rsidRDefault="00C03B15" w:rsidP="003E7977">
      <w:pPr>
        <w:rPr>
          <w:szCs w:val="24"/>
          <w:lang w:val="es-MX"/>
        </w:rPr>
      </w:pPr>
      <w:r w:rsidRPr="003E7977">
        <w:rPr>
          <w:szCs w:val="24"/>
          <w:lang w:val="es-MX"/>
        </w:rPr>
        <w:t xml:space="preserve">Art. </w:t>
      </w:r>
      <w:r w:rsidR="003B19B7" w:rsidRPr="003E7977">
        <w:rPr>
          <w:szCs w:val="24"/>
          <w:lang w:val="es-MX"/>
        </w:rPr>
        <w:t>4</w:t>
      </w:r>
      <w:r w:rsidRPr="003E7977">
        <w:rPr>
          <w:szCs w:val="24"/>
          <w:lang w:val="es-MX"/>
        </w:rPr>
        <w:t>°.- Comuníquese, etc.</w:t>
      </w:r>
    </w:p>
    <w:p w:rsidR="00C03B15" w:rsidRPr="003E7977" w:rsidRDefault="00C03B15" w:rsidP="003E7977">
      <w:pPr>
        <w:rPr>
          <w:szCs w:val="24"/>
          <w:lang w:val="es-MX"/>
        </w:rPr>
      </w:pPr>
    </w:p>
    <w:p w:rsidR="00C03B15" w:rsidRPr="003E7977" w:rsidRDefault="00C03B15" w:rsidP="003E7977">
      <w:pPr>
        <w:rPr>
          <w:szCs w:val="24"/>
          <w:lang w:val="es-MX"/>
        </w:rPr>
      </w:pPr>
      <w:r w:rsidRPr="003E7977">
        <w:rPr>
          <w:szCs w:val="24"/>
          <w:lang w:val="es-MX"/>
        </w:rPr>
        <w:t>Sala de la Comisión :           de                                            de 2022</w:t>
      </w:r>
    </w:p>
    <w:p w:rsidR="00C03B15" w:rsidRPr="003E7977" w:rsidRDefault="00C03B15" w:rsidP="003E7977">
      <w:pPr>
        <w:rPr>
          <w:szCs w:val="24"/>
          <w:lang w:val="es-MX"/>
        </w:rPr>
      </w:pPr>
    </w:p>
    <w:p w:rsidR="00C03B15" w:rsidRPr="003E7977" w:rsidRDefault="00C03B15" w:rsidP="003E7977">
      <w:pPr>
        <w:rPr>
          <w:szCs w:val="24"/>
          <w:lang w:val="es-MX"/>
        </w:rPr>
      </w:pPr>
      <w:r w:rsidRPr="003E7977">
        <w:rPr>
          <w:szCs w:val="24"/>
          <w:lang w:val="es-MX"/>
        </w:rPr>
        <w:tab/>
      </w:r>
    </w:p>
    <w:p w:rsidR="005E649D" w:rsidRPr="003E7977" w:rsidRDefault="005E649D" w:rsidP="003E7977">
      <w:pPr>
        <w:rPr>
          <w:szCs w:val="24"/>
          <w:lang w:val="es-MX"/>
        </w:rPr>
      </w:pPr>
    </w:p>
    <w:p w:rsidR="00C03B15" w:rsidRPr="003E7977" w:rsidRDefault="00C03B15" w:rsidP="003E7977">
      <w:pPr>
        <w:rPr>
          <w:szCs w:val="24"/>
          <w:lang w:val="es-MX"/>
        </w:rPr>
      </w:pPr>
    </w:p>
    <w:p w:rsidR="00C03B15" w:rsidRPr="003E7977" w:rsidRDefault="00C03B15" w:rsidP="003E7977">
      <w:pPr>
        <w:rPr>
          <w:szCs w:val="24"/>
          <w:lang w:val="es-MX"/>
        </w:rPr>
      </w:pPr>
    </w:p>
    <w:p w:rsidR="00C03B15" w:rsidRPr="003E7977" w:rsidRDefault="00C03B15" w:rsidP="003E7977">
      <w:pPr>
        <w:ind w:left="4962"/>
        <w:jc w:val="center"/>
        <w:rPr>
          <w:szCs w:val="24"/>
          <w:lang w:val="es-MX"/>
        </w:rPr>
      </w:pPr>
      <w:r w:rsidRPr="003E7977">
        <w:rPr>
          <w:szCs w:val="24"/>
          <w:lang w:val="es-MX"/>
        </w:rPr>
        <w:t xml:space="preserve">Bou </w:t>
      </w:r>
      <w:r w:rsidR="005E649D" w:rsidRPr="003E7977">
        <w:rPr>
          <w:szCs w:val="24"/>
          <w:lang w:val="es-MX"/>
        </w:rPr>
        <w:t>Pérez</w:t>
      </w:r>
      <w:r w:rsidRPr="003E7977">
        <w:rPr>
          <w:szCs w:val="24"/>
          <w:lang w:val="es-MX"/>
        </w:rPr>
        <w:t xml:space="preserve">, Ana </w:t>
      </w:r>
      <w:r w:rsidR="005E649D" w:rsidRPr="003E7977">
        <w:rPr>
          <w:szCs w:val="24"/>
          <w:lang w:val="es-MX"/>
        </w:rPr>
        <w:t>María</w:t>
      </w:r>
    </w:p>
    <w:p w:rsidR="00C03B15" w:rsidRPr="003E7977" w:rsidRDefault="00C03B15" w:rsidP="003E7977">
      <w:pPr>
        <w:ind w:left="4962"/>
        <w:jc w:val="center"/>
        <w:rPr>
          <w:szCs w:val="24"/>
          <w:lang w:val="es-MX"/>
        </w:rPr>
      </w:pPr>
      <w:r w:rsidRPr="003E7977">
        <w:rPr>
          <w:szCs w:val="24"/>
          <w:lang w:val="es-MX"/>
        </w:rPr>
        <w:t>Presidente</w:t>
      </w:r>
    </w:p>
    <w:p w:rsidR="00C03B15" w:rsidRPr="003E7977" w:rsidRDefault="00C03B15" w:rsidP="003E7977">
      <w:pPr>
        <w:rPr>
          <w:szCs w:val="24"/>
          <w:lang w:val="es-MX"/>
        </w:rPr>
      </w:pPr>
    </w:p>
    <w:p w:rsidR="00C03B15" w:rsidRPr="003E7977" w:rsidRDefault="00C03B15" w:rsidP="003E7977">
      <w:pPr>
        <w:rPr>
          <w:szCs w:val="24"/>
          <w:lang w:val="es-MX"/>
        </w:rPr>
      </w:pPr>
    </w:p>
    <w:p w:rsidR="00C03B15" w:rsidRPr="003E7977" w:rsidRDefault="00C03B15" w:rsidP="003E7977">
      <w:pPr>
        <w:rPr>
          <w:szCs w:val="24"/>
          <w:lang w:val="es-MX"/>
        </w:rPr>
      </w:pPr>
    </w:p>
    <w:p w:rsidR="005E649D" w:rsidRPr="003E7977" w:rsidRDefault="005E649D" w:rsidP="003E7977">
      <w:pPr>
        <w:rPr>
          <w:szCs w:val="24"/>
          <w:lang w:val="es-MX"/>
        </w:rPr>
      </w:pPr>
    </w:p>
    <w:p w:rsidR="00C03B15" w:rsidRPr="003E7977" w:rsidRDefault="00C03B15" w:rsidP="003E7977">
      <w:pPr>
        <w:rPr>
          <w:szCs w:val="24"/>
          <w:lang w:val="es-MX"/>
        </w:rPr>
      </w:pPr>
    </w:p>
    <w:p w:rsidR="00C03B15" w:rsidRPr="003E7977" w:rsidRDefault="00C03B15" w:rsidP="003E7977">
      <w:pPr>
        <w:tabs>
          <w:tab w:val="left" w:pos="4962"/>
        </w:tabs>
        <w:rPr>
          <w:szCs w:val="24"/>
          <w:lang w:val="es-MX"/>
        </w:rPr>
      </w:pPr>
      <w:r w:rsidRPr="003E7977">
        <w:rPr>
          <w:szCs w:val="24"/>
          <w:lang w:val="es-MX"/>
        </w:rPr>
        <w:t xml:space="preserve">Iañez, Berenice </w:t>
      </w:r>
      <w:r w:rsidRPr="003E7977">
        <w:rPr>
          <w:szCs w:val="24"/>
          <w:lang w:val="es-MX"/>
        </w:rPr>
        <w:tab/>
        <w:t>Amor, Alejandro</w:t>
      </w:r>
    </w:p>
    <w:p w:rsidR="00C03B15" w:rsidRPr="003E7977" w:rsidRDefault="00C03B15" w:rsidP="003E7977">
      <w:pPr>
        <w:tabs>
          <w:tab w:val="left" w:pos="4962"/>
        </w:tabs>
        <w:rPr>
          <w:szCs w:val="24"/>
          <w:lang w:val="es-MX"/>
        </w:rPr>
      </w:pPr>
      <w:r w:rsidRPr="003E7977">
        <w:rPr>
          <w:szCs w:val="24"/>
          <w:lang w:val="es-MX"/>
        </w:rPr>
        <w:t>Vicepresidente 1°</w:t>
      </w:r>
    </w:p>
    <w:p w:rsidR="00C03B15" w:rsidRPr="003E7977" w:rsidRDefault="00C03B15" w:rsidP="003E7977">
      <w:pPr>
        <w:tabs>
          <w:tab w:val="left" w:pos="4962"/>
        </w:tabs>
        <w:rPr>
          <w:szCs w:val="24"/>
          <w:lang w:val="es-MX"/>
        </w:rPr>
      </w:pPr>
    </w:p>
    <w:p w:rsidR="00F44ACC" w:rsidRPr="003E7977" w:rsidRDefault="00F44ACC" w:rsidP="003E7977">
      <w:pPr>
        <w:tabs>
          <w:tab w:val="left" w:pos="4962"/>
        </w:tabs>
        <w:rPr>
          <w:szCs w:val="24"/>
          <w:lang w:val="es-MX"/>
        </w:rPr>
      </w:pPr>
    </w:p>
    <w:p w:rsidR="00C03B15" w:rsidRPr="003E7977" w:rsidRDefault="00C03B15" w:rsidP="003E7977">
      <w:pPr>
        <w:tabs>
          <w:tab w:val="left" w:pos="4962"/>
        </w:tabs>
        <w:rPr>
          <w:szCs w:val="24"/>
          <w:lang w:val="es-MX"/>
        </w:rPr>
      </w:pPr>
    </w:p>
    <w:p w:rsidR="00C03B15" w:rsidRPr="003E7977" w:rsidRDefault="00C03B15" w:rsidP="003E7977">
      <w:pPr>
        <w:tabs>
          <w:tab w:val="left" w:pos="4962"/>
        </w:tabs>
        <w:rPr>
          <w:szCs w:val="24"/>
          <w:lang w:val="es-MX"/>
        </w:rPr>
      </w:pPr>
    </w:p>
    <w:p w:rsidR="00C03B15" w:rsidRPr="003E7977" w:rsidRDefault="00C03B15" w:rsidP="003E7977">
      <w:pPr>
        <w:tabs>
          <w:tab w:val="left" w:pos="4962"/>
        </w:tabs>
        <w:rPr>
          <w:szCs w:val="24"/>
          <w:lang w:val="es-MX"/>
        </w:rPr>
      </w:pPr>
      <w:r w:rsidRPr="003E7977">
        <w:rPr>
          <w:szCs w:val="24"/>
          <w:lang w:val="es-MX"/>
        </w:rPr>
        <w:t xml:space="preserve">Arenaza,  Juan Pablo </w:t>
      </w:r>
      <w:r w:rsidRPr="003E7977">
        <w:rPr>
          <w:szCs w:val="24"/>
          <w:lang w:val="es-MX"/>
        </w:rPr>
        <w:tab/>
        <w:t>Cortina, Roy</w:t>
      </w:r>
    </w:p>
    <w:p w:rsidR="00C03B15" w:rsidRPr="003E7977" w:rsidRDefault="00C03B15" w:rsidP="003E7977">
      <w:pPr>
        <w:tabs>
          <w:tab w:val="left" w:pos="4962"/>
        </w:tabs>
        <w:rPr>
          <w:szCs w:val="24"/>
          <w:lang w:val="es-MX"/>
        </w:rPr>
      </w:pPr>
    </w:p>
    <w:p w:rsidR="00C03B15" w:rsidRPr="003E7977" w:rsidRDefault="00C03B15" w:rsidP="003E7977">
      <w:pPr>
        <w:tabs>
          <w:tab w:val="left" w:pos="4962"/>
        </w:tabs>
        <w:rPr>
          <w:szCs w:val="24"/>
          <w:lang w:val="es-MX"/>
        </w:rPr>
      </w:pPr>
    </w:p>
    <w:p w:rsidR="00C03B15" w:rsidRPr="003E7977" w:rsidRDefault="00C03B15" w:rsidP="003E7977">
      <w:pPr>
        <w:tabs>
          <w:tab w:val="left" w:pos="4962"/>
        </w:tabs>
        <w:rPr>
          <w:szCs w:val="24"/>
          <w:lang w:val="es-MX"/>
        </w:rPr>
      </w:pPr>
    </w:p>
    <w:p w:rsidR="00C03B15" w:rsidRPr="003E7977" w:rsidRDefault="00C03B15" w:rsidP="003E7977">
      <w:pPr>
        <w:tabs>
          <w:tab w:val="left" w:pos="4962"/>
        </w:tabs>
        <w:rPr>
          <w:szCs w:val="24"/>
          <w:lang w:val="es-MX"/>
        </w:rPr>
      </w:pPr>
    </w:p>
    <w:p w:rsidR="00C03B15" w:rsidRPr="003E7977" w:rsidRDefault="00C03B15" w:rsidP="003E7977">
      <w:pPr>
        <w:tabs>
          <w:tab w:val="left" w:pos="4962"/>
        </w:tabs>
        <w:rPr>
          <w:szCs w:val="24"/>
          <w:lang w:val="es-MX"/>
        </w:rPr>
      </w:pPr>
      <w:r w:rsidRPr="003E7977">
        <w:rPr>
          <w:szCs w:val="24"/>
          <w:lang w:val="es-MX"/>
        </w:rPr>
        <w:t xml:space="preserve">Daer,  Maia </w:t>
      </w:r>
      <w:r w:rsidRPr="003E7977">
        <w:rPr>
          <w:szCs w:val="24"/>
          <w:lang w:val="es-MX"/>
        </w:rPr>
        <w:tab/>
        <w:t>De Las Casas, Mercedes</w:t>
      </w:r>
    </w:p>
    <w:p w:rsidR="00C03B15" w:rsidRPr="003E7977" w:rsidRDefault="00C03B15" w:rsidP="003E7977">
      <w:pPr>
        <w:tabs>
          <w:tab w:val="left" w:pos="4962"/>
        </w:tabs>
        <w:rPr>
          <w:szCs w:val="24"/>
          <w:lang w:val="es-MX"/>
        </w:rPr>
      </w:pPr>
    </w:p>
    <w:p w:rsidR="00C03B15" w:rsidRPr="003E7977" w:rsidRDefault="00C03B15" w:rsidP="003E7977">
      <w:pPr>
        <w:tabs>
          <w:tab w:val="left" w:pos="4962"/>
        </w:tabs>
        <w:rPr>
          <w:szCs w:val="24"/>
          <w:lang w:val="es-MX"/>
        </w:rPr>
      </w:pPr>
    </w:p>
    <w:p w:rsidR="00F44ACC" w:rsidRPr="003E7977" w:rsidRDefault="00F44ACC" w:rsidP="003E7977">
      <w:pPr>
        <w:tabs>
          <w:tab w:val="left" w:pos="4962"/>
        </w:tabs>
        <w:rPr>
          <w:szCs w:val="24"/>
          <w:lang w:val="es-MX"/>
        </w:rPr>
      </w:pPr>
    </w:p>
    <w:p w:rsidR="00C03B15" w:rsidRPr="003E7977" w:rsidRDefault="00C03B15" w:rsidP="003E7977">
      <w:pPr>
        <w:tabs>
          <w:tab w:val="left" w:pos="4962"/>
        </w:tabs>
        <w:rPr>
          <w:szCs w:val="24"/>
          <w:lang w:val="es-MX"/>
        </w:rPr>
      </w:pPr>
    </w:p>
    <w:p w:rsidR="00C03B15" w:rsidRPr="003E7977" w:rsidRDefault="00C03B15" w:rsidP="003E7977">
      <w:pPr>
        <w:tabs>
          <w:tab w:val="left" w:pos="4962"/>
        </w:tabs>
        <w:rPr>
          <w:szCs w:val="24"/>
          <w:lang w:val="es-MX"/>
        </w:rPr>
      </w:pPr>
      <w:r w:rsidRPr="003E7977">
        <w:rPr>
          <w:szCs w:val="24"/>
          <w:lang w:val="es-MX"/>
        </w:rPr>
        <w:t xml:space="preserve">Del Gaiso, Juan Facundo </w:t>
      </w:r>
      <w:r w:rsidRPr="003E7977">
        <w:rPr>
          <w:szCs w:val="24"/>
          <w:lang w:val="es-MX"/>
        </w:rPr>
        <w:tab/>
        <w:t>Michielotto, Paola Vanesa</w:t>
      </w:r>
    </w:p>
    <w:p w:rsidR="00C03B15" w:rsidRPr="003E7977" w:rsidRDefault="00C03B15" w:rsidP="003E7977">
      <w:pPr>
        <w:tabs>
          <w:tab w:val="left" w:pos="4962"/>
        </w:tabs>
        <w:rPr>
          <w:szCs w:val="24"/>
          <w:lang w:val="es-MX"/>
        </w:rPr>
      </w:pPr>
    </w:p>
    <w:p w:rsidR="00C03B15" w:rsidRPr="003E7977" w:rsidRDefault="00C03B15" w:rsidP="003E7977">
      <w:pPr>
        <w:tabs>
          <w:tab w:val="left" w:pos="4962"/>
        </w:tabs>
        <w:rPr>
          <w:szCs w:val="24"/>
          <w:lang w:val="es-MX"/>
        </w:rPr>
      </w:pPr>
    </w:p>
    <w:p w:rsidR="00F44ACC" w:rsidRPr="003E7977" w:rsidRDefault="00F44ACC" w:rsidP="003E7977">
      <w:pPr>
        <w:tabs>
          <w:tab w:val="left" w:pos="4962"/>
        </w:tabs>
        <w:rPr>
          <w:szCs w:val="24"/>
          <w:lang w:val="es-MX"/>
        </w:rPr>
      </w:pPr>
    </w:p>
    <w:p w:rsidR="00C03B15" w:rsidRPr="003E7977" w:rsidRDefault="00C03B15" w:rsidP="003E7977">
      <w:pPr>
        <w:tabs>
          <w:tab w:val="left" w:pos="4962"/>
        </w:tabs>
        <w:rPr>
          <w:szCs w:val="24"/>
          <w:lang w:val="es-MX"/>
        </w:rPr>
      </w:pPr>
    </w:p>
    <w:p w:rsidR="00C03B15" w:rsidRPr="003E7977" w:rsidRDefault="005E649D" w:rsidP="003E7977">
      <w:pPr>
        <w:tabs>
          <w:tab w:val="left" w:pos="4962"/>
        </w:tabs>
        <w:rPr>
          <w:szCs w:val="24"/>
          <w:lang w:val="es-MX"/>
        </w:rPr>
      </w:pPr>
      <w:r w:rsidRPr="003E7977">
        <w:rPr>
          <w:szCs w:val="24"/>
          <w:lang w:val="es-MX"/>
        </w:rPr>
        <w:t>Méndez</w:t>
      </w:r>
      <w:r w:rsidR="00C03B15" w:rsidRPr="003E7977">
        <w:rPr>
          <w:szCs w:val="24"/>
          <w:lang w:val="es-MX"/>
        </w:rPr>
        <w:t xml:space="preserve">, </w:t>
      </w:r>
      <w:r w:rsidRPr="003E7977">
        <w:rPr>
          <w:szCs w:val="24"/>
          <w:lang w:val="es-MX"/>
        </w:rPr>
        <w:t>María</w:t>
      </w:r>
      <w:r w:rsidR="00C03B15" w:rsidRPr="003E7977">
        <w:rPr>
          <w:szCs w:val="24"/>
          <w:lang w:val="es-MX"/>
        </w:rPr>
        <w:t xml:space="preserve"> Sol </w:t>
      </w:r>
      <w:r w:rsidR="00C03B15" w:rsidRPr="003E7977">
        <w:rPr>
          <w:szCs w:val="24"/>
          <w:lang w:val="es-MX"/>
        </w:rPr>
        <w:tab/>
        <w:t>Montenegro, Victoria</w:t>
      </w:r>
    </w:p>
    <w:p w:rsidR="00C03B15" w:rsidRPr="003E7977" w:rsidRDefault="00C03B15" w:rsidP="003E7977">
      <w:pPr>
        <w:tabs>
          <w:tab w:val="left" w:pos="4962"/>
        </w:tabs>
        <w:rPr>
          <w:szCs w:val="24"/>
          <w:lang w:val="es-MX"/>
        </w:rPr>
      </w:pPr>
    </w:p>
    <w:p w:rsidR="00C03B15" w:rsidRPr="003E7977" w:rsidRDefault="00C03B15" w:rsidP="003E7977">
      <w:pPr>
        <w:tabs>
          <w:tab w:val="left" w:pos="4962"/>
        </w:tabs>
        <w:rPr>
          <w:szCs w:val="24"/>
          <w:lang w:val="es-MX"/>
        </w:rPr>
      </w:pPr>
    </w:p>
    <w:p w:rsidR="00F44ACC" w:rsidRPr="003E7977" w:rsidRDefault="00F44ACC" w:rsidP="003E7977">
      <w:pPr>
        <w:tabs>
          <w:tab w:val="left" w:pos="4962"/>
        </w:tabs>
        <w:rPr>
          <w:szCs w:val="24"/>
          <w:lang w:val="es-MX"/>
        </w:rPr>
      </w:pPr>
    </w:p>
    <w:p w:rsidR="00C03B15" w:rsidRPr="003E7977" w:rsidRDefault="00C03B15" w:rsidP="003E7977">
      <w:pPr>
        <w:tabs>
          <w:tab w:val="left" w:pos="4962"/>
        </w:tabs>
        <w:rPr>
          <w:szCs w:val="24"/>
          <w:lang w:val="es-MX"/>
        </w:rPr>
      </w:pPr>
    </w:p>
    <w:p w:rsidR="00C03B15" w:rsidRPr="003E7977" w:rsidRDefault="00C03B15" w:rsidP="003E7977">
      <w:pPr>
        <w:tabs>
          <w:tab w:val="left" w:pos="4962"/>
        </w:tabs>
        <w:rPr>
          <w:szCs w:val="24"/>
          <w:lang w:val="es-MX"/>
        </w:rPr>
      </w:pPr>
      <w:r w:rsidRPr="003E7977">
        <w:rPr>
          <w:szCs w:val="24"/>
          <w:lang w:val="es-MX"/>
        </w:rPr>
        <w:t xml:space="preserve">Romero, Claudio Ariel </w:t>
      </w:r>
      <w:r w:rsidRPr="003E7977">
        <w:rPr>
          <w:szCs w:val="24"/>
          <w:lang w:val="es-MX"/>
        </w:rPr>
        <w:tab/>
        <w:t>Saifert, Leonardo</w:t>
      </w:r>
    </w:p>
    <w:p w:rsidR="00C03B15" w:rsidRPr="003E7977" w:rsidRDefault="00C03B15" w:rsidP="003E7977">
      <w:pPr>
        <w:tabs>
          <w:tab w:val="left" w:pos="4962"/>
        </w:tabs>
        <w:rPr>
          <w:szCs w:val="24"/>
          <w:lang w:val="es-MX"/>
        </w:rPr>
      </w:pPr>
    </w:p>
    <w:p w:rsidR="00C03B15" w:rsidRPr="003E7977" w:rsidRDefault="00C03B15" w:rsidP="003E7977">
      <w:pPr>
        <w:tabs>
          <w:tab w:val="left" w:pos="4962"/>
        </w:tabs>
        <w:rPr>
          <w:szCs w:val="24"/>
          <w:lang w:val="es-MX"/>
        </w:rPr>
      </w:pPr>
    </w:p>
    <w:p w:rsidR="00F44ACC" w:rsidRPr="003E7977" w:rsidRDefault="00F44ACC" w:rsidP="003E7977">
      <w:pPr>
        <w:tabs>
          <w:tab w:val="left" w:pos="4962"/>
        </w:tabs>
        <w:rPr>
          <w:szCs w:val="24"/>
          <w:lang w:val="es-MX"/>
        </w:rPr>
      </w:pPr>
    </w:p>
    <w:p w:rsidR="00C03B15" w:rsidRPr="003E7977" w:rsidRDefault="00C03B15" w:rsidP="003E7977">
      <w:pPr>
        <w:tabs>
          <w:tab w:val="left" w:pos="4962"/>
        </w:tabs>
        <w:rPr>
          <w:szCs w:val="24"/>
          <w:lang w:val="es-MX"/>
        </w:rPr>
      </w:pPr>
    </w:p>
    <w:p w:rsidR="00C03B15" w:rsidRPr="003E7977" w:rsidRDefault="00C03B15" w:rsidP="003E7977">
      <w:pPr>
        <w:tabs>
          <w:tab w:val="left" w:pos="4962"/>
        </w:tabs>
        <w:rPr>
          <w:szCs w:val="24"/>
          <w:lang w:val="es-MX"/>
        </w:rPr>
      </w:pPr>
      <w:r w:rsidRPr="003E7977">
        <w:rPr>
          <w:szCs w:val="24"/>
          <w:lang w:val="es-MX"/>
        </w:rPr>
        <w:t xml:space="preserve">Solano, Gabriel </w:t>
      </w:r>
      <w:r w:rsidRPr="003E7977">
        <w:rPr>
          <w:szCs w:val="24"/>
          <w:lang w:val="es-MX"/>
        </w:rPr>
        <w:tab/>
        <w:t>Weck, Diego</w:t>
      </w:r>
    </w:p>
    <w:p w:rsidR="00C03B15" w:rsidRPr="003E7977" w:rsidRDefault="00C03B15" w:rsidP="003E7977">
      <w:pPr>
        <w:rPr>
          <w:szCs w:val="24"/>
          <w:lang w:val="es-MX"/>
        </w:rPr>
      </w:pPr>
    </w:p>
    <w:p w:rsidR="00B177FE" w:rsidRPr="003E7977" w:rsidRDefault="00B177FE" w:rsidP="003E7977">
      <w:pPr>
        <w:rPr>
          <w:szCs w:val="24"/>
          <w:lang w:val="es-MX"/>
        </w:rPr>
      </w:pPr>
    </w:p>
    <w:p w:rsidR="00B177FE" w:rsidRPr="003E7977" w:rsidRDefault="00B177FE" w:rsidP="003E7977">
      <w:pPr>
        <w:rPr>
          <w:szCs w:val="24"/>
          <w:lang w:val="es-MX"/>
        </w:rPr>
      </w:pPr>
    </w:p>
    <w:p w:rsidR="00AF6352" w:rsidRPr="003E7977" w:rsidRDefault="00AF6352" w:rsidP="003E7977">
      <w:pPr>
        <w:rPr>
          <w:szCs w:val="24"/>
          <w:lang w:val="es-MX"/>
        </w:rPr>
      </w:pPr>
    </w:p>
    <w:sectPr w:rsidR="00AF6352" w:rsidRPr="003E7977" w:rsidSect="005A3AA1">
      <w:headerReference w:type="default" r:id="rId8"/>
      <w:footerReference w:type="default" r:id="rId9"/>
      <w:pgSz w:w="12242" w:h="20163" w:code="5"/>
      <w:pgMar w:top="2268" w:right="851" w:bottom="1418" w:left="2835"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9EE" w:rsidRDefault="00EB29EE">
      <w:r>
        <w:separator/>
      </w:r>
    </w:p>
  </w:endnote>
  <w:endnote w:type="continuationSeparator" w:id="0">
    <w:p w:rsidR="00EB29EE" w:rsidRDefault="00EB2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A75" w:rsidRPr="008552A6" w:rsidRDefault="00601A75">
    <w:pPr>
      <w:pStyle w:val="Piedepgina"/>
      <w:rPr>
        <w:color w:val="333333"/>
        <w:sz w:val="20"/>
      </w:rPr>
    </w:pPr>
    <w:bookmarkStart w:id="2" w:name="Despacho"/>
    <w:bookmarkEnd w:id="2"/>
  </w:p>
  <w:p w:rsidR="00601A75" w:rsidRPr="008552A6" w:rsidRDefault="00601A75">
    <w:pPr>
      <w:pStyle w:val="Piedepgina"/>
      <w:rPr>
        <w:color w:val="333333"/>
        <w:sz w:val="20"/>
      </w:rPr>
    </w:pPr>
    <w:r w:rsidRPr="008552A6">
      <w:rPr>
        <w:color w:val="333333"/>
        <w:sz w:val="20"/>
      </w:rPr>
      <w:t xml:space="preserve">Último cambio: </w:t>
    </w:r>
    <w:r w:rsidR="00EB29EE">
      <w:fldChar w:fldCharType="begin"/>
    </w:r>
    <w:r w:rsidR="00EB29EE">
      <w:instrText xml:space="preserve"> SAVEDATE  \* MERGEFORMAT </w:instrText>
    </w:r>
    <w:r w:rsidR="00EB29EE">
      <w:fldChar w:fldCharType="separate"/>
    </w:r>
    <w:r w:rsidR="00971AAC" w:rsidRPr="00971AAC">
      <w:rPr>
        <w:noProof/>
        <w:color w:val="333333"/>
        <w:sz w:val="20"/>
      </w:rPr>
      <w:t>08/04/2022 14:21:00</w:t>
    </w:r>
    <w:r w:rsidR="00EB29EE">
      <w:rPr>
        <w:noProof/>
        <w:color w:val="333333"/>
        <w:sz w:val="20"/>
      </w:rPr>
      <w:fldChar w:fldCharType="end"/>
    </w:r>
    <w:r w:rsidRPr="008552A6">
      <w:rPr>
        <w:color w:val="333333"/>
        <w:sz w:val="20"/>
      </w:rPr>
      <w:t xml:space="preserve">  -  Cantidad de caracteres: </w:t>
    </w:r>
    <w:r w:rsidR="00EB29EE">
      <w:fldChar w:fldCharType="begin"/>
    </w:r>
    <w:r w:rsidR="00EB29EE">
      <w:instrText xml:space="preserve"> NUMCHARS  \* MERGEFORMAT </w:instrText>
    </w:r>
    <w:r w:rsidR="00EB29EE">
      <w:fldChar w:fldCharType="separate"/>
    </w:r>
    <w:r w:rsidR="008552A6" w:rsidRPr="008552A6">
      <w:rPr>
        <w:noProof/>
        <w:color w:val="333333"/>
        <w:sz w:val="20"/>
      </w:rPr>
      <w:t>21871</w:t>
    </w:r>
    <w:r w:rsidR="00EB29EE">
      <w:rPr>
        <w:noProof/>
        <w:color w:val="333333"/>
        <w:sz w:val="20"/>
      </w:rPr>
      <w:fldChar w:fldCharType="end"/>
    </w:r>
    <w:r w:rsidRPr="008552A6">
      <w:rPr>
        <w:color w:val="333333"/>
        <w:sz w:val="20"/>
      </w:rPr>
      <w:t xml:space="preserve"> - Cantidad de palabras: </w:t>
    </w:r>
    <w:r w:rsidR="00EB29EE">
      <w:fldChar w:fldCharType="begin"/>
    </w:r>
    <w:r w:rsidR="00EB29EE">
      <w:instrText xml:space="preserve"> NUMWORDS  \* MERGEFORMAT </w:instrText>
    </w:r>
    <w:r w:rsidR="00EB29EE">
      <w:fldChar w:fldCharType="separate"/>
    </w:r>
    <w:r w:rsidR="008552A6" w:rsidRPr="008552A6">
      <w:rPr>
        <w:noProof/>
        <w:color w:val="333333"/>
        <w:sz w:val="20"/>
      </w:rPr>
      <w:t>3957</w:t>
    </w:r>
    <w:r w:rsidR="00EB29EE">
      <w:rPr>
        <w:noProof/>
        <w:color w:val="333333"/>
        <w:sz w:val="20"/>
      </w:rPr>
      <w:fldChar w:fldCharType="end"/>
    </w:r>
  </w:p>
  <w:p w:rsidR="00601A75" w:rsidRPr="008552A6" w:rsidRDefault="00601A75" w:rsidP="00B05649">
    <w:pPr>
      <w:pStyle w:val="Piedepgina"/>
      <w:tabs>
        <w:tab w:val="left" w:pos="3565"/>
      </w:tabs>
      <w:rPr>
        <w:rStyle w:val="Nmerodepgina"/>
        <w:color w:val="333333"/>
      </w:rPr>
    </w:pPr>
    <w:r w:rsidRPr="008552A6">
      <w:rPr>
        <w:color w:val="333333"/>
        <w:sz w:val="20"/>
      </w:rPr>
      <w:tab/>
      <w:t>Pág.</w:t>
    </w:r>
    <w:r w:rsidRPr="008552A6">
      <w:rPr>
        <w:color w:val="333333"/>
      </w:rPr>
      <w:t xml:space="preserve"> </w:t>
    </w:r>
    <w:r w:rsidR="0056572A" w:rsidRPr="008552A6">
      <w:rPr>
        <w:rStyle w:val="Nmerodepgina"/>
        <w:color w:val="333333"/>
      </w:rPr>
      <w:fldChar w:fldCharType="begin"/>
    </w:r>
    <w:r w:rsidRPr="008552A6">
      <w:rPr>
        <w:rStyle w:val="Nmerodepgina"/>
        <w:color w:val="333333"/>
      </w:rPr>
      <w:instrText xml:space="preserve"> PAGE </w:instrText>
    </w:r>
    <w:r w:rsidR="0056572A" w:rsidRPr="008552A6">
      <w:rPr>
        <w:rStyle w:val="Nmerodepgina"/>
        <w:color w:val="333333"/>
      </w:rPr>
      <w:fldChar w:fldCharType="separate"/>
    </w:r>
    <w:r w:rsidR="00971AAC">
      <w:rPr>
        <w:rStyle w:val="Nmerodepgina"/>
        <w:noProof/>
        <w:color w:val="333333"/>
      </w:rPr>
      <w:t>1</w:t>
    </w:r>
    <w:r w:rsidR="0056572A" w:rsidRPr="008552A6">
      <w:rPr>
        <w:rStyle w:val="Nmerodepgina"/>
        <w:color w:val="333333"/>
      </w:rPr>
      <w:fldChar w:fldCharType="end"/>
    </w:r>
    <w:r w:rsidRPr="008552A6">
      <w:rPr>
        <w:rStyle w:val="Nmerodepgina"/>
        <w:color w:val="333333"/>
      </w:rPr>
      <w:t>/</w:t>
    </w:r>
    <w:r w:rsidR="00EB29EE">
      <w:fldChar w:fldCharType="begin"/>
    </w:r>
    <w:r w:rsidR="00EB29EE">
      <w:instrText xml:space="preserve"> NUMPAGES  \* MERGEFORMAT </w:instrText>
    </w:r>
    <w:r w:rsidR="00EB29EE">
      <w:fldChar w:fldCharType="separate"/>
    </w:r>
    <w:r w:rsidR="00971AAC" w:rsidRPr="00971AAC">
      <w:rPr>
        <w:rStyle w:val="Nmerodepgina"/>
        <w:noProof/>
        <w:color w:val="333333"/>
      </w:rPr>
      <w:t>8</w:t>
    </w:r>
    <w:r w:rsidR="00EB29EE">
      <w:rPr>
        <w:rStyle w:val="Nmerodepgina"/>
        <w:noProof/>
        <w:color w:val="333333"/>
      </w:rPr>
      <w:fldChar w:fldCharType="end"/>
    </w:r>
    <w:r w:rsidRPr="008552A6">
      <w:rPr>
        <w:rStyle w:val="Nmerodepgina"/>
        <w:color w:val="333333"/>
      </w:rPr>
      <w:t xml:space="preserve"> </w:t>
    </w:r>
  </w:p>
  <w:p w:rsidR="00601A75" w:rsidRPr="008552A6" w:rsidRDefault="00601A75">
    <w:pPr>
      <w:pStyle w:val="Piedepgina"/>
      <w:rPr>
        <w:color w:val="33333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9EE" w:rsidRDefault="00EB29EE">
      <w:r>
        <w:separator/>
      </w:r>
    </w:p>
  </w:footnote>
  <w:footnote w:type="continuationSeparator" w:id="0">
    <w:p w:rsidR="00EB29EE" w:rsidRDefault="00EB29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68A" w:rsidRPr="00090EDD" w:rsidRDefault="0016569A" w:rsidP="0033168A">
    <w:pPr>
      <w:pStyle w:val="Encabezado"/>
      <w:ind w:left="-2410" w:firstLine="850"/>
      <w:jc w:val="center"/>
      <w:rPr>
        <w:sz w:val="18"/>
        <w:szCs w:val="18"/>
      </w:rPr>
    </w:pPr>
    <w:r>
      <w:rPr>
        <w:noProof/>
        <w:lang w:val="es-US" w:eastAsia="es-U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090EDD" w:rsidRDefault="00090EDD" w:rsidP="00090EDD">
    <w:pPr>
      <w:pStyle w:val="Encabezado"/>
      <w:jc w:val="center"/>
      <w:rPr>
        <w:color w:val="000000"/>
        <w:shd w:val="clear" w:color="auto" w:fill="FFFFFF"/>
      </w:rPr>
    </w:pPr>
    <w:r>
      <w:t xml:space="preserve">2022 - </w:t>
    </w:r>
    <w:r w:rsidRPr="00123A4E">
      <w:t>"Año del 40ºaniversario de la guerra de Malvinas. En homenaje a los veteranos y caídos en defensa de las Islas Malvinas y el Atlántico Sur"</w:t>
    </w:r>
  </w:p>
  <w:p w:rsidR="00090EDD" w:rsidRDefault="00090EDD" w:rsidP="00C03B15">
    <w:pPr>
      <w:pStyle w:val="Encabezado"/>
      <w:jc w:val="right"/>
      <w:rPr>
        <w:color w:val="000000"/>
        <w:shd w:val="clear" w:color="auto" w:fill="FFFFFF"/>
      </w:rPr>
    </w:pPr>
  </w:p>
  <w:p w:rsidR="00601A75" w:rsidRDefault="00C03B15" w:rsidP="00C03B15">
    <w:pPr>
      <w:pStyle w:val="Encabezado"/>
      <w:jc w:val="right"/>
      <w:rPr>
        <w:szCs w:val="24"/>
        <w:lang w:val="es-MX"/>
      </w:rPr>
    </w:pPr>
    <w:r w:rsidRPr="00C03B15">
      <w:rPr>
        <w:color w:val="000000"/>
        <w:shd w:val="clear" w:color="auto" w:fill="FFFFFF"/>
      </w:rPr>
      <w:t xml:space="preserve">Referencia: </w:t>
    </w:r>
    <w:r w:rsidRPr="00C03B15">
      <w:rPr>
        <w:szCs w:val="24"/>
        <w:lang w:val="es-MX"/>
      </w:rPr>
      <w:t>Expediente N° 165-D-2022</w:t>
    </w:r>
  </w:p>
  <w:p w:rsidR="00D33C80" w:rsidRPr="00C03B15" w:rsidRDefault="00D33C80" w:rsidP="00C03B15">
    <w:pPr>
      <w:pStyle w:val="Encabezado"/>
      <w:jc w:val="right"/>
      <w:rPr>
        <w:color w:val="000000"/>
        <w:shd w:val="clear" w:color="auto" w:fill="FFFFFF"/>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69A"/>
    <w:rsid w:val="00001988"/>
    <w:rsid w:val="000031F8"/>
    <w:rsid w:val="00011911"/>
    <w:rsid w:val="00026430"/>
    <w:rsid w:val="00030DF5"/>
    <w:rsid w:val="0003615C"/>
    <w:rsid w:val="000376AB"/>
    <w:rsid w:val="00043882"/>
    <w:rsid w:val="00062864"/>
    <w:rsid w:val="00067370"/>
    <w:rsid w:val="00070680"/>
    <w:rsid w:val="000713D7"/>
    <w:rsid w:val="00071CFB"/>
    <w:rsid w:val="0007371F"/>
    <w:rsid w:val="00077DAC"/>
    <w:rsid w:val="00080837"/>
    <w:rsid w:val="00081FFF"/>
    <w:rsid w:val="00085D07"/>
    <w:rsid w:val="00090EDD"/>
    <w:rsid w:val="000B2290"/>
    <w:rsid w:val="000D1497"/>
    <w:rsid w:val="000D2860"/>
    <w:rsid w:val="000D6C54"/>
    <w:rsid w:val="000E3949"/>
    <w:rsid w:val="000F74CB"/>
    <w:rsid w:val="000F7E30"/>
    <w:rsid w:val="00103C6B"/>
    <w:rsid w:val="00104335"/>
    <w:rsid w:val="00120083"/>
    <w:rsid w:val="00127D10"/>
    <w:rsid w:val="00136787"/>
    <w:rsid w:val="00145948"/>
    <w:rsid w:val="00155C7C"/>
    <w:rsid w:val="00160A2A"/>
    <w:rsid w:val="001614A7"/>
    <w:rsid w:val="0016569A"/>
    <w:rsid w:val="0019414B"/>
    <w:rsid w:val="001B0CF3"/>
    <w:rsid w:val="001B770D"/>
    <w:rsid w:val="001C18CC"/>
    <w:rsid w:val="001D480C"/>
    <w:rsid w:val="001E5394"/>
    <w:rsid w:val="001F2924"/>
    <w:rsid w:val="001F3AFD"/>
    <w:rsid w:val="00205802"/>
    <w:rsid w:val="00205DAD"/>
    <w:rsid w:val="00223436"/>
    <w:rsid w:val="002327DE"/>
    <w:rsid w:val="00237C13"/>
    <w:rsid w:val="00246DF0"/>
    <w:rsid w:val="0026220D"/>
    <w:rsid w:val="002633B7"/>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19B7"/>
    <w:rsid w:val="003B471C"/>
    <w:rsid w:val="003D10AB"/>
    <w:rsid w:val="003D4000"/>
    <w:rsid w:val="003E7977"/>
    <w:rsid w:val="003F1EFD"/>
    <w:rsid w:val="003F4249"/>
    <w:rsid w:val="00401C75"/>
    <w:rsid w:val="0040761B"/>
    <w:rsid w:val="00422C3F"/>
    <w:rsid w:val="004354AC"/>
    <w:rsid w:val="00446E1A"/>
    <w:rsid w:val="004847CA"/>
    <w:rsid w:val="004B7714"/>
    <w:rsid w:val="004D2D62"/>
    <w:rsid w:val="004D30D5"/>
    <w:rsid w:val="004D438B"/>
    <w:rsid w:val="004E235F"/>
    <w:rsid w:val="00505FF0"/>
    <w:rsid w:val="0051012E"/>
    <w:rsid w:val="005142E6"/>
    <w:rsid w:val="00522C71"/>
    <w:rsid w:val="00534552"/>
    <w:rsid w:val="00540D49"/>
    <w:rsid w:val="00540E5C"/>
    <w:rsid w:val="00550A79"/>
    <w:rsid w:val="00551DE0"/>
    <w:rsid w:val="0056572A"/>
    <w:rsid w:val="0057409D"/>
    <w:rsid w:val="005769D4"/>
    <w:rsid w:val="00584777"/>
    <w:rsid w:val="00587242"/>
    <w:rsid w:val="005A1232"/>
    <w:rsid w:val="005A32ED"/>
    <w:rsid w:val="005A3AA1"/>
    <w:rsid w:val="005A4D27"/>
    <w:rsid w:val="005B0FAF"/>
    <w:rsid w:val="005B14CE"/>
    <w:rsid w:val="005B6538"/>
    <w:rsid w:val="005C37AB"/>
    <w:rsid w:val="005E649D"/>
    <w:rsid w:val="005E7D9A"/>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3303"/>
    <w:rsid w:val="006D5CB7"/>
    <w:rsid w:val="006E3675"/>
    <w:rsid w:val="0070513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5CBF"/>
    <w:rsid w:val="00827228"/>
    <w:rsid w:val="008433E2"/>
    <w:rsid w:val="00846702"/>
    <w:rsid w:val="008552A6"/>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71AAC"/>
    <w:rsid w:val="00977413"/>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03B15"/>
    <w:rsid w:val="00C139ED"/>
    <w:rsid w:val="00C26F53"/>
    <w:rsid w:val="00C330CB"/>
    <w:rsid w:val="00C3675D"/>
    <w:rsid w:val="00C419C1"/>
    <w:rsid w:val="00C515D7"/>
    <w:rsid w:val="00C51E49"/>
    <w:rsid w:val="00C521F9"/>
    <w:rsid w:val="00C63351"/>
    <w:rsid w:val="00C71253"/>
    <w:rsid w:val="00C734F9"/>
    <w:rsid w:val="00C87365"/>
    <w:rsid w:val="00C93FF6"/>
    <w:rsid w:val="00CC20B0"/>
    <w:rsid w:val="00CD3069"/>
    <w:rsid w:val="00CE0D73"/>
    <w:rsid w:val="00CE163F"/>
    <w:rsid w:val="00D21279"/>
    <w:rsid w:val="00D23C57"/>
    <w:rsid w:val="00D33C80"/>
    <w:rsid w:val="00D43AA2"/>
    <w:rsid w:val="00D518DB"/>
    <w:rsid w:val="00D55ECB"/>
    <w:rsid w:val="00D67721"/>
    <w:rsid w:val="00D758CE"/>
    <w:rsid w:val="00D76A86"/>
    <w:rsid w:val="00D80469"/>
    <w:rsid w:val="00D927D4"/>
    <w:rsid w:val="00DB5EDA"/>
    <w:rsid w:val="00DC7B18"/>
    <w:rsid w:val="00DD2795"/>
    <w:rsid w:val="00DD32AB"/>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0907"/>
    <w:rsid w:val="00E81EE5"/>
    <w:rsid w:val="00E91F21"/>
    <w:rsid w:val="00EB29EE"/>
    <w:rsid w:val="00EB6956"/>
    <w:rsid w:val="00EF0D22"/>
    <w:rsid w:val="00F13C69"/>
    <w:rsid w:val="00F41DF6"/>
    <w:rsid w:val="00F44ACC"/>
    <w:rsid w:val="00F52245"/>
    <w:rsid w:val="00F5569F"/>
    <w:rsid w:val="00F60308"/>
    <w:rsid w:val="00F640D0"/>
    <w:rsid w:val="00F75389"/>
    <w:rsid w:val="00F903E8"/>
    <w:rsid w:val="00FA0C8C"/>
    <w:rsid w:val="00FD07F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680"/>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070680"/>
    <w:pPr>
      <w:ind w:left="3686"/>
    </w:pPr>
  </w:style>
  <w:style w:type="paragraph" w:styleId="Encabezado">
    <w:name w:val="header"/>
    <w:basedOn w:val="Normal"/>
    <w:link w:val="EncabezadoCar"/>
    <w:uiPriority w:val="99"/>
    <w:rsid w:val="00070680"/>
    <w:pPr>
      <w:tabs>
        <w:tab w:val="center" w:pos="4419"/>
        <w:tab w:val="right" w:pos="8838"/>
      </w:tabs>
    </w:pPr>
  </w:style>
  <w:style w:type="paragraph" w:styleId="Piedepgina">
    <w:name w:val="footer"/>
    <w:basedOn w:val="Normal"/>
    <w:rsid w:val="00070680"/>
    <w:pPr>
      <w:tabs>
        <w:tab w:val="center" w:pos="4419"/>
        <w:tab w:val="right" w:pos="8838"/>
      </w:tabs>
    </w:pPr>
  </w:style>
  <w:style w:type="character" w:styleId="Nmerodepgina">
    <w:name w:val="page number"/>
    <w:basedOn w:val="Fuentedeprrafopredeter"/>
    <w:rsid w:val="00070680"/>
  </w:style>
  <w:style w:type="character" w:customStyle="1" w:styleId="EncabezadoCar">
    <w:name w:val="Encabezado Car"/>
    <w:basedOn w:val="Fuentedeprrafopredeter"/>
    <w:link w:val="Encabezado"/>
    <w:uiPriority w:val="99"/>
    <w:rsid w:val="0033168A"/>
    <w:rPr>
      <w:sz w:val="24"/>
      <w:lang w:val="es-ES_tradnl"/>
    </w:rPr>
  </w:style>
  <w:style w:type="character" w:styleId="Textoennegrita">
    <w:name w:val="Strong"/>
    <w:uiPriority w:val="22"/>
    <w:qFormat/>
    <w:rsid w:val="0016569A"/>
    <w:rPr>
      <w:b/>
      <w:bCs/>
    </w:rPr>
  </w:style>
  <w:style w:type="paragraph" w:styleId="Textodeglobo">
    <w:name w:val="Balloon Text"/>
    <w:basedOn w:val="Normal"/>
    <w:link w:val="TextodegloboCar"/>
    <w:uiPriority w:val="99"/>
    <w:semiHidden/>
    <w:unhideWhenUsed/>
    <w:rsid w:val="00090EDD"/>
    <w:rPr>
      <w:rFonts w:ascii="Tahoma" w:hAnsi="Tahoma" w:cs="Tahoma"/>
      <w:sz w:val="16"/>
      <w:szCs w:val="16"/>
    </w:rPr>
  </w:style>
  <w:style w:type="character" w:customStyle="1" w:styleId="TextodegloboCar">
    <w:name w:val="Texto de globo Car"/>
    <w:basedOn w:val="Fuentedeprrafopredeter"/>
    <w:link w:val="Textodeglobo"/>
    <w:uiPriority w:val="99"/>
    <w:semiHidden/>
    <w:rsid w:val="00090EDD"/>
    <w:rPr>
      <w:rFonts w:ascii="Tahoma" w:hAnsi="Tahoma" w:cs="Tahoma"/>
      <w:sz w:val="16"/>
      <w:szCs w:val="16"/>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680"/>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070680"/>
    <w:pPr>
      <w:ind w:left="3686"/>
    </w:pPr>
  </w:style>
  <w:style w:type="paragraph" w:styleId="Encabezado">
    <w:name w:val="header"/>
    <w:basedOn w:val="Normal"/>
    <w:link w:val="EncabezadoCar"/>
    <w:uiPriority w:val="99"/>
    <w:rsid w:val="00070680"/>
    <w:pPr>
      <w:tabs>
        <w:tab w:val="center" w:pos="4419"/>
        <w:tab w:val="right" w:pos="8838"/>
      </w:tabs>
    </w:pPr>
  </w:style>
  <w:style w:type="paragraph" w:styleId="Piedepgina">
    <w:name w:val="footer"/>
    <w:basedOn w:val="Normal"/>
    <w:rsid w:val="00070680"/>
    <w:pPr>
      <w:tabs>
        <w:tab w:val="center" w:pos="4419"/>
        <w:tab w:val="right" w:pos="8838"/>
      </w:tabs>
    </w:pPr>
  </w:style>
  <w:style w:type="character" w:styleId="Nmerodepgina">
    <w:name w:val="page number"/>
    <w:basedOn w:val="Fuentedeprrafopredeter"/>
    <w:rsid w:val="00070680"/>
  </w:style>
  <w:style w:type="character" w:customStyle="1" w:styleId="EncabezadoCar">
    <w:name w:val="Encabezado Car"/>
    <w:basedOn w:val="Fuentedeprrafopredeter"/>
    <w:link w:val="Encabezado"/>
    <w:uiPriority w:val="99"/>
    <w:rsid w:val="0033168A"/>
    <w:rPr>
      <w:sz w:val="24"/>
      <w:lang w:val="es-ES_tradnl"/>
    </w:rPr>
  </w:style>
  <w:style w:type="character" w:styleId="Textoennegrita">
    <w:name w:val="Strong"/>
    <w:uiPriority w:val="22"/>
    <w:qFormat/>
    <w:rsid w:val="0016569A"/>
    <w:rPr>
      <w:b/>
      <w:bCs/>
    </w:rPr>
  </w:style>
  <w:style w:type="paragraph" w:styleId="Textodeglobo">
    <w:name w:val="Balloon Text"/>
    <w:basedOn w:val="Normal"/>
    <w:link w:val="TextodegloboCar"/>
    <w:uiPriority w:val="99"/>
    <w:semiHidden/>
    <w:unhideWhenUsed/>
    <w:rsid w:val="00090EDD"/>
    <w:rPr>
      <w:rFonts w:ascii="Tahoma" w:hAnsi="Tahoma" w:cs="Tahoma"/>
      <w:sz w:val="16"/>
      <w:szCs w:val="16"/>
    </w:rPr>
  </w:style>
  <w:style w:type="character" w:customStyle="1" w:styleId="TextodegloboCar">
    <w:name w:val="Texto de globo Car"/>
    <w:basedOn w:val="Fuentedeprrafopredeter"/>
    <w:link w:val="Textodeglobo"/>
    <w:uiPriority w:val="99"/>
    <w:semiHidden/>
    <w:rsid w:val="00090EDD"/>
    <w:rPr>
      <w:rFonts w:ascii="Tahoma"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paz\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CB882B-BAA5-46FA-B6DF-E9B252280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0</TotalTime>
  <Pages>8</Pages>
  <Words>3999</Words>
  <Characters>21997</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25945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sipaz</dc:creator>
  <cp:lastModifiedBy>Pablo Schillagi</cp:lastModifiedBy>
  <cp:revision>2</cp:revision>
  <cp:lastPrinted>2022-04-08T17:21:00Z</cp:lastPrinted>
  <dcterms:created xsi:type="dcterms:W3CDTF">2022-04-21T17:33:00Z</dcterms:created>
  <dcterms:modified xsi:type="dcterms:W3CDTF">2022-04-21T17:33:00Z</dcterms:modified>
</cp:coreProperties>
</file>