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AFC" w:rsidRDefault="004C6AFC" w:rsidP="004C6AFC">
      <w:pPr>
        <w:jc w:val="center"/>
        <w:rPr>
          <w:b/>
          <w:bCs/>
          <w:color w:val="000000"/>
          <w:szCs w:val="24"/>
          <w:lang w:val="es-AR" w:eastAsia="es-AR"/>
        </w:rPr>
      </w:pPr>
      <w:r w:rsidRPr="004C6AFC">
        <w:rPr>
          <w:b/>
          <w:bCs/>
          <w:color w:val="000000"/>
          <w:szCs w:val="24"/>
          <w:lang w:val="es-AR" w:eastAsia="es-AR"/>
        </w:rPr>
        <w:t>PROYECTO DE RESOLUCIÓN</w:t>
      </w:r>
    </w:p>
    <w:p w:rsidR="004C6AFC" w:rsidRPr="004C6AFC" w:rsidRDefault="004C6AFC" w:rsidP="004C6AFC">
      <w:pPr>
        <w:jc w:val="center"/>
        <w:rPr>
          <w:szCs w:val="24"/>
          <w:lang w:val="es-AR" w:eastAsia="es-AR"/>
        </w:rPr>
      </w:pPr>
    </w:p>
    <w:p w:rsidR="004C6AFC" w:rsidRPr="004C6AFC" w:rsidRDefault="004C6AFC" w:rsidP="004C6AFC">
      <w:pPr>
        <w:jc w:val="left"/>
        <w:rPr>
          <w:szCs w:val="24"/>
          <w:lang w:val="es-AR" w:eastAsia="es-AR"/>
        </w:rPr>
      </w:pPr>
    </w:p>
    <w:p w:rsidR="004C6AFC" w:rsidRPr="004C6AFC" w:rsidRDefault="004C6AFC" w:rsidP="004C6AFC">
      <w:pPr>
        <w:spacing w:line="360" w:lineRule="auto"/>
        <w:rPr>
          <w:szCs w:val="24"/>
          <w:lang w:val="es-AR" w:eastAsia="es-AR"/>
        </w:rPr>
      </w:pPr>
      <w:r w:rsidRPr="004C6AFC">
        <w:rPr>
          <w:b/>
          <w:bCs/>
          <w:color w:val="000000"/>
          <w:szCs w:val="24"/>
          <w:u w:val="single"/>
          <w:lang w:val="es-AR" w:eastAsia="es-AR"/>
        </w:rPr>
        <w:t>Artículo 1°.-</w:t>
      </w:r>
      <w:r w:rsidRPr="004C6AFC">
        <w:rPr>
          <w:color w:val="000000"/>
          <w:szCs w:val="24"/>
          <w:lang w:val="es-AR" w:eastAsia="es-AR"/>
        </w:rPr>
        <w:t>  La Legislatura de la Ciudad Autónoma de Buenos Aires en cumplimiento con lo dispuesto en el inciso 3° del artículo 83 y el inciso 4° del artículo 105 de la Constitución de la Ciudad Autónoma de Buenos Aires, solicita al Poder Ejecutivo de la Ciudad que informe, a través de las dependencias correspondientes, en un plazo de 30 (treinta) días de recibida la presente, sobre los siguientes puntos relacionados al Consejo de Coordinación Intercomunal, tal como lo establece la ley 1777.   </w:t>
      </w:r>
    </w:p>
    <w:p w:rsidR="004C6AFC" w:rsidRPr="004C6AFC" w:rsidRDefault="004C6AFC" w:rsidP="004C6AFC">
      <w:pPr>
        <w:spacing w:line="360" w:lineRule="auto"/>
        <w:jc w:val="left"/>
        <w:rPr>
          <w:szCs w:val="24"/>
          <w:lang w:val="es-AR" w:eastAsia="es-AR"/>
        </w:rPr>
      </w:pPr>
    </w:p>
    <w:p w:rsidR="004C6AFC" w:rsidRPr="004C6AFC" w:rsidRDefault="004C6AFC" w:rsidP="004C6AFC">
      <w:pPr>
        <w:numPr>
          <w:ilvl w:val="0"/>
          <w:numId w:val="8"/>
        </w:numPr>
        <w:spacing w:line="360" w:lineRule="auto"/>
        <w:jc w:val="left"/>
        <w:textAlignment w:val="baseline"/>
        <w:rPr>
          <w:color w:val="000000"/>
          <w:szCs w:val="24"/>
          <w:lang w:val="es-AR" w:eastAsia="es-AR"/>
        </w:rPr>
      </w:pPr>
      <w:r w:rsidRPr="004C6AFC">
        <w:rPr>
          <w:color w:val="000000"/>
          <w:szCs w:val="24"/>
          <w:lang w:val="es-AR" w:eastAsia="es-AR"/>
        </w:rPr>
        <w:t>Informe si se están llevando a cabo reuniones del Consejo, detallando fecha y nómina de los presentes. De no ser así, indique el motivo.</w:t>
      </w:r>
      <w:r w:rsidRPr="004C6AFC">
        <w:rPr>
          <w:szCs w:val="24"/>
          <w:lang w:val="es-AR" w:eastAsia="es-AR"/>
        </w:rPr>
        <w:br/>
      </w:r>
    </w:p>
    <w:p w:rsidR="004C6AFC" w:rsidRPr="004C6AFC" w:rsidRDefault="004C6AFC" w:rsidP="004C6AFC">
      <w:pPr>
        <w:numPr>
          <w:ilvl w:val="0"/>
          <w:numId w:val="8"/>
        </w:numPr>
        <w:spacing w:line="360" w:lineRule="auto"/>
        <w:jc w:val="left"/>
        <w:textAlignment w:val="baseline"/>
        <w:rPr>
          <w:rFonts w:ascii="Arial" w:hAnsi="Arial" w:cs="Arial"/>
          <w:color w:val="000000"/>
          <w:szCs w:val="24"/>
          <w:lang w:val="es-AR" w:eastAsia="es-AR"/>
        </w:rPr>
      </w:pPr>
      <w:r w:rsidRPr="004C6AFC">
        <w:rPr>
          <w:color w:val="000000"/>
          <w:szCs w:val="24"/>
          <w:lang w:val="es-AR" w:eastAsia="es-AR"/>
        </w:rPr>
        <w:t>Indique si se elaboran actas de cada reunión. De ser así, remita las actas del periodo 2016-2021.</w:t>
      </w:r>
      <w:r w:rsidRPr="004C6AFC">
        <w:rPr>
          <w:szCs w:val="24"/>
          <w:lang w:val="es-AR" w:eastAsia="es-AR"/>
        </w:rPr>
        <w:br/>
      </w:r>
    </w:p>
    <w:p w:rsidR="004C6AFC" w:rsidRPr="004C6AFC" w:rsidRDefault="004C6AFC" w:rsidP="004C6AFC">
      <w:pPr>
        <w:numPr>
          <w:ilvl w:val="0"/>
          <w:numId w:val="8"/>
        </w:numPr>
        <w:spacing w:line="360" w:lineRule="auto"/>
        <w:jc w:val="left"/>
        <w:textAlignment w:val="baseline"/>
        <w:rPr>
          <w:color w:val="000000"/>
          <w:szCs w:val="24"/>
          <w:lang w:val="es-AR" w:eastAsia="es-AR"/>
        </w:rPr>
      </w:pPr>
      <w:r w:rsidRPr="004C6AFC">
        <w:rPr>
          <w:color w:val="000000"/>
          <w:szCs w:val="24"/>
          <w:lang w:val="es-AR" w:eastAsia="es-AR"/>
        </w:rPr>
        <w:t xml:space="preserve">Explicite sobre el avance del proceso de descentralización, detallando si se elaboran informes, y </w:t>
      </w:r>
      <w:r w:rsidR="00A32076" w:rsidRPr="004C6AFC">
        <w:rPr>
          <w:color w:val="000000"/>
          <w:szCs w:val="24"/>
          <w:lang w:val="es-AR" w:eastAsia="es-AR"/>
        </w:rPr>
        <w:t>adjúntelos</w:t>
      </w:r>
      <w:r w:rsidRPr="004C6AFC">
        <w:rPr>
          <w:color w:val="000000"/>
          <w:szCs w:val="24"/>
          <w:lang w:val="es-AR" w:eastAsia="es-AR"/>
        </w:rPr>
        <w:t>. </w:t>
      </w:r>
      <w:r>
        <w:rPr>
          <w:color w:val="000000"/>
          <w:szCs w:val="24"/>
          <w:lang w:val="es-AR" w:eastAsia="es-AR"/>
        </w:rPr>
        <w:t xml:space="preserve"> </w:t>
      </w:r>
      <w:r w:rsidRPr="004C6AFC">
        <w:rPr>
          <w:szCs w:val="24"/>
          <w:lang w:val="es-AR" w:eastAsia="es-AR"/>
        </w:rPr>
        <w:br/>
      </w:r>
    </w:p>
    <w:p w:rsidR="004C6AFC" w:rsidRPr="004C6AFC" w:rsidRDefault="004C6AFC" w:rsidP="004C6AFC">
      <w:pPr>
        <w:numPr>
          <w:ilvl w:val="0"/>
          <w:numId w:val="8"/>
        </w:numPr>
        <w:spacing w:line="360" w:lineRule="auto"/>
        <w:jc w:val="left"/>
        <w:textAlignment w:val="baseline"/>
        <w:rPr>
          <w:color w:val="000000"/>
          <w:szCs w:val="24"/>
          <w:lang w:val="es-AR" w:eastAsia="es-AR"/>
        </w:rPr>
      </w:pPr>
      <w:r w:rsidRPr="004C6AFC">
        <w:rPr>
          <w:color w:val="000000"/>
          <w:szCs w:val="24"/>
          <w:lang w:val="es-AR" w:eastAsia="es-AR"/>
        </w:rPr>
        <w:t>Indique si durante el año 2021 se elaboró en el marco del Consejo de Coordinación Intercomunal la matriz presupuestaria para la elaboración del presupuesto de las comunas para el corriente año. De ser afirmativa, adjunte dicha matriz presupuestaria.</w:t>
      </w:r>
      <w:r w:rsidRPr="004C6AFC">
        <w:rPr>
          <w:szCs w:val="24"/>
          <w:lang w:val="es-AR" w:eastAsia="es-AR"/>
        </w:rPr>
        <w:br/>
      </w:r>
    </w:p>
    <w:p w:rsidR="004C6AFC" w:rsidRPr="004C6AFC" w:rsidRDefault="004C6AFC" w:rsidP="004C6AFC">
      <w:pPr>
        <w:numPr>
          <w:ilvl w:val="0"/>
          <w:numId w:val="8"/>
        </w:numPr>
        <w:spacing w:line="360" w:lineRule="auto"/>
        <w:jc w:val="left"/>
        <w:textAlignment w:val="baseline"/>
        <w:rPr>
          <w:color w:val="000000"/>
          <w:szCs w:val="24"/>
          <w:lang w:val="es-AR" w:eastAsia="es-AR"/>
        </w:rPr>
      </w:pPr>
      <w:r w:rsidRPr="004C6AFC">
        <w:rPr>
          <w:color w:val="000000"/>
          <w:szCs w:val="24"/>
          <w:lang w:val="es-AR" w:eastAsia="es-AR"/>
        </w:rPr>
        <w:t>Remita el reglamento del Consejo de Coordinación Intercomunal.</w:t>
      </w:r>
    </w:p>
    <w:p w:rsidR="004C6AFC" w:rsidRPr="004C6AFC" w:rsidRDefault="004C6AFC" w:rsidP="004C6AFC">
      <w:pPr>
        <w:shd w:val="clear" w:color="auto" w:fill="FFFFFF"/>
        <w:spacing w:line="360" w:lineRule="auto"/>
        <w:ind w:left="720" w:firstLine="120"/>
        <w:jc w:val="left"/>
        <w:rPr>
          <w:szCs w:val="24"/>
          <w:lang w:val="es-AR" w:eastAsia="es-AR"/>
        </w:rPr>
      </w:pPr>
    </w:p>
    <w:p w:rsidR="004C6AFC" w:rsidRPr="004C6AFC" w:rsidRDefault="004C6AFC" w:rsidP="004C6AFC">
      <w:pPr>
        <w:numPr>
          <w:ilvl w:val="0"/>
          <w:numId w:val="8"/>
        </w:numPr>
        <w:shd w:val="clear" w:color="auto" w:fill="FFFFFF"/>
        <w:spacing w:line="360" w:lineRule="auto"/>
        <w:jc w:val="left"/>
        <w:textAlignment w:val="baseline"/>
        <w:rPr>
          <w:color w:val="000000"/>
          <w:szCs w:val="24"/>
          <w:lang w:val="es-AR" w:eastAsia="es-AR"/>
        </w:rPr>
      </w:pPr>
      <w:r w:rsidRPr="004C6AFC">
        <w:rPr>
          <w:color w:val="222222"/>
          <w:szCs w:val="24"/>
          <w:lang w:val="es-AR" w:eastAsia="es-AR"/>
        </w:rPr>
        <w:t>Indique qué funcionario del Poder Ejecutivo preside el Consejo, tal como lo establece el artículo 40 de la presente ley. </w:t>
      </w:r>
    </w:p>
    <w:p w:rsidR="004C6AFC" w:rsidRPr="004C6AFC" w:rsidRDefault="004C6AFC" w:rsidP="004C6AFC">
      <w:pPr>
        <w:shd w:val="clear" w:color="auto" w:fill="FFFFFF"/>
        <w:spacing w:line="360" w:lineRule="auto"/>
        <w:ind w:left="720" w:firstLine="60"/>
        <w:jc w:val="left"/>
        <w:rPr>
          <w:szCs w:val="24"/>
          <w:lang w:val="es-AR" w:eastAsia="es-AR"/>
        </w:rPr>
      </w:pPr>
    </w:p>
    <w:p w:rsidR="004C6AFC" w:rsidRPr="004C6AFC" w:rsidRDefault="004C6AFC" w:rsidP="004C6AFC">
      <w:pPr>
        <w:numPr>
          <w:ilvl w:val="0"/>
          <w:numId w:val="8"/>
        </w:numPr>
        <w:shd w:val="clear" w:color="auto" w:fill="FFFFFF"/>
        <w:spacing w:line="360" w:lineRule="auto"/>
        <w:jc w:val="left"/>
        <w:textAlignment w:val="baseline"/>
        <w:rPr>
          <w:color w:val="000000"/>
          <w:szCs w:val="24"/>
          <w:lang w:val="es-AR" w:eastAsia="es-AR"/>
        </w:rPr>
      </w:pPr>
      <w:r w:rsidRPr="004C6AFC">
        <w:rPr>
          <w:color w:val="000000"/>
          <w:szCs w:val="24"/>
          <w:lang w:val="es-AR" w:eastAsia="es-AR"/>
        </w:rPr>
        <w:t>Remita un informe de la proyección para el año 2022 sobre el proceso de descentralización. </w:t>
      </w:r>
    </w:p>
    <w:p w:rsidR="004C6AFC" w:rsidRPr="004C6AFC" w:rsidRDefault="004C6AFC" w:rsidP="004C6AFC">
      <w:pPr>
        <w:shd w:val="clear" w:color="auto" w:fill="FFFFFF"/>
        <w:spacing w:line="360" w:lineRule="auto"/>
        <w:rPr>
          <w:szCs w:val="24"/>
          <w:lang w:val="es-AR" w:eastAsia="es-AR"/>
        </w:rPr>
      </w:pPr>
      <w:r w:rsidRPr="004C6AFC">
        <w:rPr>
          <w:szCs w:val="24"/>
          <w:lang w:val="es-AR" w:eastAsia="es-AR"/>
        </w:rPr>
        <w:t> </w:t>
      </w:r>
    </w:p>
    <w:p w:rsidR="004C6AFC" w:rsidRPr="004C6AFC" w:rsidRDefault="004C6AFC" w:rsidP="004C6AFC">
      <w:pPr>
        <w:spacing w:line="360" w:lineRule="auto"/>
        <w:jc w:val="left"/>
        <w:rPr>
          <w:szCs w:val="24"/>
          <w:lang w:val="es-AR" w:eastAsia="es-AR"/>
        </w:rPr>
      </w:pPr>
      <w:r w:rsidRPr="004C6AFC">
        <w:rPr>
          <w:b/>
          <w:bCs/>
          <w:color w:val="222222"/>
          <w:szCs w:val="24"/>
          <w:u w:val="single"/>
          <w:shd w:val="clear" w:color="auto" w:fill="FFFFFF"/>
          <w:lang w:val="es-AR" w:eastAsia="es-AR"/>
        </w:rPr>
        <w:t>Artículo 2°.-</w:t>
      </w:r>
      <w:r w:rsidRPr="004C6AFC">
        <w:rPr>
          <w:color w:val="222222"/>
          <w:szCs w:val="24"/>
          <w:shd w:val="clear" w:color="auto" w:fill="FFFFFF"/>
          <w:lang w:val="es-AR" w:eastAsia="es-AR"/>
        </w:rPr>
        <w:t xml:space="preserve"> Comuníquese, etc.</w:t>
      </w:r>
    </w:p>
    <w:p w:rsidR="004C6AFC" w:rsidRPr="004C6AFC" w:rsidRDefault="004C6AFC" w:rsidP="004C6AFC">
      <w:pPr>
        <w:spacing w:after="240" w:line="360" w:lineRule="auto"/>
        <w:jc w:val="left"/>
        <w:rPr>
          <w:szCs w:val="24"/>
          <w:lang w:val="es-AR" w:eastAsia="es-AR"/>
        </w:rPr>
      </w:pPr>
      <w:r w:rsidRPr="004C6AFC">
        <w:rPr>
          <w:szCs w:val="24"/>
          <w:lang w:val="es-AR" w:eastAsia="es-AR"/>
        </w:rPr>
        <w:br/>
      </w:r>
      <w:r w:rsidRPr="004C6AFC">
        <w:rPr>
          <w:szCs w:val="24"/>
          <w:lang w:val="es-AR" w:eastAsia="es-AR"/>
        </w:rPr>
        <w:br/>
      </w:r>
      <w:r w:rsidRPr="004C6AFC">
        <w:rPr>
          <w:szCs w:val="24"/>
          <w:lang w:val="es-AR" w:eastAsia="es-AR"/>
        </w:rPr>
        <w:br/>
      </w:r>
      <w:r w:rsidRPr="004C6AFC">
        <w:rPr>
          <w:szCs w:val="24"/>
          <w:lang w:val="es-AR" w:eastAsia="es-AR"/>
        </w:rPr>
        <w:br/>
      </w:r>
    </w:p>
    <w:p w:rsidR="004C6AFC" w:rsidRPr="004C6AFC" w:rsidRDefault="004C6AFC" w:rsidP="004C6AFC">
      <w:pPr>
        <w:spacing w:line="360" w:lineRule="auto"/>
        <w:jc w:val="center"/>
        <w:rPr>
          <w:szCs w:val="24"/>
          <w:lang w:val="es-AR" w:eastAsia="es-AR"/>
        </w:rPr>
      </w:pPr>
      <w:r w:rsidRPr="004C6AFC">
        <w:rPr>
          <w:b/>
          <w:bCs/>
          <w:color w:val="000000"/>
          <w:szCs w:val="24"/>
          <w:lang w:val="es-AR" w:eastAsia="es-AR"/>
        </w:rPr>
        <w:lastRenderedPageBreak/>
        <w:t>FUNDAMENTOS</w:t>
      </w:r>
    </w:p>
    <w:p w:rsidR="004C6AFC" w:rsidRDefault="004C6AFC" w:rsidP="004C6AFC">
      <w:pPr>
        <w:spacing w:line="360" w:lineRule="auto"/>
        <w:jc w:val="left"/>
        <w:rPr>
          <w:color w:val="000000"/>
          <w:szCs w:val="24"/>
          <w:lang w:val="es-AR" w:eastAsia="es-AR"/>
        </w:rPr>
      </w:pPr>
    </w:p>
    <w:p w:rsidR="004C6AFC" w:rsidRDefault="004C6AFC" w:rsidP="004C6AFC">
      <w:pPr>
        <w:spacing w:line="360" w:lineRule="auto"/>
        <w:jc w:val="left"/>
        <w:rPr>
          <w:color w:val="000000"/>
          <w:szCs w:val="24"/>
          <w:lang w:val="es-AR" w:eastAsia="es-AR"/>
        </w:rPr>
      </w:pPr>
      <w:r w:rsidRPr="004C6AFC">
        <w:rPr>
          <w:color w:val="000000"/>
          <w:szCs w:val="24"/>
          <w:lang w:val="es-AR" w:eastAsia="es-AR"/>
        </w:rPr>
        <w:t>Señor Presidente: </w:t>
      </w:r>
    </w:p>
    <w:p w:rsidR="004C6AFC" w:rsidRPr="004C6AFC" w:rsidRDefault="004C6AFC" w:rsidP="004C6AFC">
      <w:pPr>
        <w:spacing w:line="360" w:lineRule="auto"/>
        <w:jc w:val="left"/>
        <w:rPr>
          <w:szCs w:val="24"/>
          <w:lang w:val="es-AR" w:eastAsia="es-AR"/>
        </w:rPr>
      </w:pPr>
    </w:p>
    <w:p w:rsidR="004C6AFC" w:rsidRPr="004C6AFC" w:rsidRDefault="004C6AFC" w:rsidP="004C6AFC">
      <w:pPr>
        <w:spacing w:line="360" w:lineRule="auto"/>
        <w:ind w:firstLine="567"/>
        <w:rPr>
          <w:szCs w:val="24"/>
          <w:lang w:val="es-AR" w:eastAsia="es-AR"/>
        </w:rPr>
      </w:pPr>
      <w:r w:rsidRPr="004C6AFC">
        <w:rPr>
          <w:color w:val="000000"/>
          <w:szCs w:val="24"/>
          <w:lang w:val="es-AR" w:eastAsia="es-AR"/>
        </w:rPr>
        <w:t xml:space="preserve">La Ley 1777, establece las normas de organización, competencia y funcionamiento de las comunas. En el título 5 de la </w:t>
      </w:r>
      <w:r>
        <w:rPr>
          <w:color w:val="000000"/>
          <w:szCs w:val="24"/>
          <w:lang w:val="es-AR" w:eastAsia="es-AR"/>
        </w:rPr>
        <w:t>presente</w:t>
      </w:r>
      <w:r w:rsidRPr="004C6AFC">
        <w:rPr>
          <w:color w:val="000000"/>
          <w:szCs w:val="24"/>
          <w:lang w:val="es-AR" w:eastAsia="es-AR"/>
        </w:rPr>
        <w:t xml:space="preserve"> ley, se da marco al Consejo de Coordinación Intercomunal (CCI), </w:t>
      </w:r>
      <w:r>
        <w:rPr>
          <w:color w:val="000000"/>
          <w:szCs w:val="24"/>
          <w:lang w:val="es-AR" w:eastAsia="es-AR"/>
        </w:rPr>
        <w:t>que es presidido por el Jefe</w:t>
      </w:r>
      <w:r w:rsidRPr="004C6AFC">
        <w:rPr>
          <w:color w:val="000000"/>
          <w:szCs w:val="24"/>
          <w:lang w:val="es-AR" w:eastAsia="es-AR"/>
        </w:rPr>
        <w:t xml:space="preserve"> de Gobierno o, en su defecto, por el funcionario que éste designe y, el artículo 39 establece que es el </w:t>
      </w:r>
      <w:r w:rsidRPr="004C6AFC">
        <w:rPr>
          <w:i/>
          <w:iCs/>
          <w:color w:val="000000"/>
          <w:szCs w:val="24"/>
          <w:lang w:val="es-AR" w:eastAsia="es-AR"/>
        </w:rPr>
        <w:t>“órgano de discusión y consenso de las políticas entre las Comunas y el Poder Ejecutivo”</w:t>
      </w:r>
      <w:r w:rsidRPr="004C6AFC">
        <w:rPr>
          <w:color w:val="000000"/>
          <w:szCs w:val="24"/>
          <w:lang w:val="es-AR" w:eastAsia="es-AR"/>
        </w:rPr>
        <w:t xml:space="preserve">. Además, la ley de comunas, en el inciso e del artículo 4, constituye al Consejo de Coordinación Intercomunal como el órgano encargado de fijar los </w:t>
      </w:r>
      <w:r w:rsidRPr="004C6AFC">
        <w:rPr>
          <w:i/>
          <w:iCs/>
          <w:color w:val="000000"/>
          <w:szCs w:val="24"/>
          <w:lang w:val="es-AR" w:eastAsia="es-AR"/>
        </w:rPr>
        <w:t>“criterios de integración entre las Comunas y el Poder Ejecutivo”</w:t>
      </w:r>
      <w:r w:rsidRPr="004C6AFC">
        <w:rPr>
          <w:color w:val="000000"/>
          <w:szCs w:val="24"/>
          <w:lang w:val="es-AR" w:eastAsia="es-AR"/>
        </w:rPr>
        <w:t>.</w:t>
      </w:r>
    </w:p>
    <w:p w:rsidR="004C6AFC" w:rsidRPr="004C6AFC" w:rsidRDefault="004C6AFC" w:rsidP="004C6AFC">
      <w:pPr>
        <w:spacing w:line="360" w:lineRule="auto"/>
        <w:ind w:firstLine="720"/>
        <w:rPr>
          <w:szCs w:val="24"/>
          <w:lang w:val="es-AR" w:eastAsia="es-AR"/>
        </w:rPr>
      </w:pPr>
      <w:r w:rsidRPr="004C6AFC">
        <w:rPr>
          <w:color w:val="000000"/>
          <w:szCs w:val="24"/>
          <w:lang w:val="es-AR" w:eastAsia="es-AR"/>
        </w:rPr>
        <w:t xml:space="preserve">Es este Consejo quien elabora la  matriz presupuestaria de cada año, la cual resulta  fundamental para la </w:t>
      </w:r>
      <w:r>
        <w:rPr>
          <w:color w:val="000000"/>
          <w:szCs w:val="24"/>
          <w:lang w:val="es-AR" w:eastAsia="es-AR"/>
        </w:rPr>
        <w:t>confección</w:t>
      </w:r>
      <w:r w:rsidRPr="004C6AFC">
        <w:rPr>
          <w:color w:val="000000"/>
          <w:szCs w:val="24"/>
          <w:lang w:val="es-AR" w:eastAsia="es-AR"/>
        </w:rPr>
        <w:t xml:space="preserve"> del presupuesto de las comunas teniendo en cuenta los </w:t>
      </w:r>
      <w:r w:rsidRPr="004C6AFC">
        <w:rPr>
          <w:i/>
          <w:iCs/>
          <w:color w:val="000000"/>
          <w:szCs w:val="24"/>
          <w:lang w:val="es-AR" w:eastAsia="es-AR"/>
        </w:rPr>
        <w:t>“indicadores sociales, culturales, económicos, ambientales, demográficos y urbanísticos que permitan generar criterios de distribución y compensación de las diferencias estructurales existentes entre los distintos barrios y zonas de la ciudad”</w:t>
      </w:r>
      <w:r w:rsidRPr="004C6AFC">
        <w:rPr>
          <w:color w:val="000000"/>
          <w:szCs w:val="24"/>
          <w:lang w:val="es-AR" w:eastAsia="es-AR"/>
        </w:rPr>
        <w:t>. </w:t>
      </w:r>
    </w:p>
    <w:p w:rsidR="004C6AFC" w:rsidRDefault="004C6AFC" w:rsidP="004C6AFC">
      <w:pPr>
        <w:spacing w:line="360" w:lineRule="auto"/>
        <w:ind w:firstLine="567"/>
        <w:rPr>
          <w:color w:val="000000"/>
          <w:szCs w:val="24"/>
          <w:lang w:val="es-AR" w:eastAsia="es-AR"/>
        </w:rPr>
      </w:pPr>
      <w:r w:rsidRPr="004C6AFC">
        <w:rPr>
          <w:color w:val="000000"/>
          <w:szCs w:val="24"/>
          <w:lang w:val="es-AR" w:eastAsia="es-AR"/>
        </w:rPr>
        <w:t xml:space="preserve">El Consejo de Coordinación Intercomunal tiene entre sus competencias, la tarea de: </w:t>
      </w:r>
      <w:r w:rsidRPr="004C6AFC">
        <w:rPr>
          <w:i/>
          <w:iCs/>
          <w:color w:val="000000"/>
          <w:szCs w:val="24"/>
          <w:lang w:val="es-AR" w:eastAsia="es-AR"/>
        </w:rPr>
        <w:t>“Coordinar y monitorear la ejecución del proceso de descentralización político - administrativo del Gobierno de la Ciudad”</w:t>
      </w:r>
      <w:r w:rsidRPr="004C6AFC">
        <w:rPr>
          <w:color w:val="000000"/>
          <w:szCs w:val="24"/>
          <w:lang w:val="es-AR" w:eastAsia="es-AR"/>
        </w:rPr>
        <w:t xml:space="preserve"> y así facilitar </w:t>
      </w:r>
      <w:r w:rsidRPr="004C6AFC">
        <w:rPr>
          <w:color w:val="000000"/>
          <w:szCs w:val="24"/>
          <w:shd w:val="clear" w:color="auto" w:fill="FFFFFF"/>
          <w:lang w:val="es-AR" w:eastAsia="es-AR"/>
        </w:rPr>
        <w:t>la participación de la ciudadanía en el proceso de toma de decisiones y en el control de los asuntos públicos</w:t>
      </w:r>
      <w:r w:rsidRPr="004C6AFC">
        <w:rPr>
          <w:color w:val="000000"/>
          <w:szCs w:val="24"/>
          <w:lang w:val="es-AR" w:eastAsia="es-AR"/>
        </w:rPr>
        <w:t xml:space="preserve">. </w:t>
      </w:r>
    </w:p>
    <w:p w:rsidR="004C6AFC" w:rsidRPr="004C6AFC" w:rsidRDefault="004C6AFC" w:rsidP="004C6AFC">
      <w:pPr>
        <w:spacing w:line="360" w:lineRule="auto"/>
        <w:ind w:firstLine="567"/>
        <w:rPr>
          <w:szCs w:val="24"/>
          <w:lang w:val="es-AR" w:eastAsia="es-AR"/>
        </w:rPr>
      </w:pPr>
      <w:r w:rsidRPr="004C6AFC">
        <w:rPr>
          <w:color w:val="000000"/>
          <w:szCs w:val="24"/>
          <w:lang w:val="es-AR" w:eastAsia="es-AR"/>
        </w:rPr>
        <w:t xml:space="preserve">Por este motivo resulta imperioso para este cuerpo, y para </w:t>
      </w:r>
      <w:r>
        <w:rPr>
          <w:color w:val="000000"/>
          <w:szCs w:val="24"/>
          <w:lang w:val="es-AR" w:eastAsia="es-AR"/>
        </w:rPr>
        <w:t>la correcta implementación</w:t>
      </w:r>
      <w:r w:rsidRPr="004C6AFC">
        <w:rPr>
          <w:color w:val="000000"/>
          <w:szCs w:val="24"/>
          <w:lang w:val="es-AR" w:eastAsia="es-AR"/>
        </w:rPr>
        <w:t xml:space="preserve"> de la ley 1777, contar con información detallada sobre el funcionamiento del Consejo</w:t>
      </w:r>
      <w:r w:rsidRPr="004C6AFC">
        <w:rPr>
          <w:color w:val="222222"/>
          <w:szCs w:val="24"/>
          <w:lang w:val="es-AR" w:eastAsia="es-AR"/>
        </w:rPr>
        <w:t xml:space="preserve"> de Coordinación Intercomunal</w:t>
      </w:r>
      <w:r>
        <w:rPr>
          <w:color w:val="222222"/>
          <w:szCs w:val="24"/>
          <w:lang w:val="es-AR" w:eastAsia="es-AR"/>
        </w:rPr>
        <w:t>.</w:t>
      </w:r>
      <w:r w:rsidRPr="004C6AFC">
        <w:rPr>
          <w:color w:val="000000"/>
          <w:szCs w:val="24"/>
          <w:lang w:val="es-AR" w:eastAsia="es-AR"/>
        </w:rPr>
        <w:t> </w:t>
      </w:r>
    </w:p>
    <w:p w:rsidR="004C6AFC" w:rsidRPr="004C6AFC" w:rsidRDefault="004C6AFC" w:rsidP="004C6AFC">
      <w:pPr>
        <w:spacing w:line="360" w:lineRule="auto"/>
        <w:ind w:firstLine="720"/>
        <w:jc w:val="left"/>
        <w:rPr>
          <w:szCs w:val="24"/>
          <w:lang w:val="es-AR" w:eastAsia="es-AR"/>
        </w:rPr>
      </w:pPr>
      <w:r w:rsidRPr="004C6AFC">
        <w:rPr>
          <w:color w:val="222222"/>
          <w:szCs w:val="24"/>
          <w:lang w:val="es-AR" w:eastAsia="es-AR"/>
        </w:rPr>
        <w:t>Por todo lo expuesto, solicito el acompañamiento del presente proyecto de resolución.</w:t>
      </w:r>
    </w:p>
    <w:p w:rsidR="005E3C49" w:rsidRPr="00E5658D" w:rsidRDefault="005E3C49" w:rsidP="004C6AFC">
      <w:pPr>
        <w:spacing w:line="360" w:lineRule="auto"/>
      </w:pPr>
    </w:p>
    <w:sectPr w:rsidR="005E3C49" w:rsidRPr="00E5658D"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1738" w:rsidRDefault="00161738">
      <w:r>
        <w:separator/>
      </w:r>
    </w:p>
  </w:endnote>
  <w:endnote w:type="continuationSeparator" w:id="1">
    <w:p w:rsidR="00161738" w:rsidRDefault="001617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F35E3B" w:rsidRPr="00F35E3B">
        <w:rPr>
          <w:noProof/>
          <w:color w:val="333333"/>
          <w:sz w:val="20"/>
        </w:rPr>
        <w:t>02/05/2022 11:11:00</w:t>
      </w:r>
    </w:fldSimple>
    <w:r w:rsidRPr="001C19C4">
      <w:rPr>
        <w:color w:val="333333"/>
        <w:sz w:val="20"/>
      </w:rPr>
      <w:t xml:space="preserve">  -  Cantidad de caracteres: </w:t>
    </w:r>
    <w:fldSimple w:instr=" NUMCHARS  \* MERGEFORMAT ">
      <w:r w:rsidR="00F35E3B" w:rsidRPr="00F35E3B">
        <w:rPr>
          <w:noProof/>
          <w:color w:val="333333"/>
          <w:sz w:val="20"/>
        </w:rPr>
        <w:t>2641</w:t>
      </w:r>
    </w:fldSimple>
    <w:r w:rsidRPr="001C19C4">
      <w:rPr>
        <w:color w:val="333333"/>
        <w:sz w:val="20"/>
      </w:rPr>
      <w:t xml:space="preserve"> - Cantidad de palabras: </w:t>
    </w:r>
    <w:fldSimple w:instr=" NUMWORDS  \* MERGEFORMAT ">
      <w:r w:rsidR="00F35E3B" w:rsidRPr="00F35E3B">
        <w:rPr>
          <w:noProof/>
          <w:color w:val="333333"/>
          <w:sz w:val="20"/>
        </w:rPr>
        <w:t>494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F80492" w:rsidRPr="001C19C4">
      <w:rPr>
        <w:rStyle w:val="Nmerodepgina"/>
        <w:color w:val="333333"/>
      </w:rPr>
      <w:fldChar w:fldCharType="begin"/>
    </w:r>
    <w:r w:rsidRPr="001C19C4">
      <w:rPr>
        <w:rStyle w:val="Nmerodepgina"/>
        <w:color w:val="333333"/>
      </w:rPr>
      <w:instrText xml:space="preserve"> PAGE </w:instrText>
    </w:r>
    <w:r w:rsidR="00F80492" w:rsidRPr="001C19C4">
      <w:rPr>
        <w:rStyle w:val="Nmerodepgina"/>
        <w:color w:val="333333"/>
      </w:rPr>
      <w:fldChar w:fldCharType="separate"/>
    </w:r>
    <w:r w:rsidR="00F35E3B">
      <w:rPr>
        <w:rStyle w:val="Nmerodepgina"/>
        <w:noProof/>
        <w:color w:val="333333"/>
      </w:rPr>
      <w:t>2</w:t>
    </w:r>
    <w:r w:rsidR="00F80492" w:rsidRPr="001C19C4">
      <w:rPr>
        <w:rStyle w:val="Nmerodepgina"/>
        <w:color w:val="333333"/>
      </w:rPr>
      <w:fldChar w:fldCharType="end"/>
    </w:r>
    <w:r w:rsidRPr="001C19C4">
      <w:rPr>
        <w:rStyle w:val="Nmerodepgina"/>
        <w:color w:val="333333"/>
      </w:rPr>
      <w:t>/</w:t>
    </w:r>
    <w:fldSimple w:instr=" NUMPAGES  \* MERGEFORMAT ">
      <w:r w:rsidR="00F35E3B" w:rsidRPr="00F35E3B">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1738" w:rsidRDefault="00161738">
      <w:r>
        <w:separator/>
      </w:r>
    </w:p>
  </w:footnote>
  <w:footnote w:type="continuationSeparator" w:id="1">
    <w:p w:rsidR="00161738" w:rsidRDefault="001617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E0E0D"/>
    <w:multiLevelType w:val="multilevel"/>
    <w:tmpl w:val="6EBED1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05DE4"/>
    <w:multiLevelType w:val="hybridMultilevel"/>
    <w:tmpl w:val="79089D02"/>
    <w:lvl w:ilvl="0" w:tplc="2C0A0017">
      <w:start w:val="1"/>
      <w:numFmt w:val="lowerLetter"/>
      <w:lvlText w:val="%1)"/>
      <w:lvlJc w:val="left"/>
      <w:pPr>
        <w:ind w:left="36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34AD20A6"/>
    <w:multiLevelType w:val="multilevel"/>
    <w:tmpl w:val="8E5843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B11D76"/>
    <w:multiLevelType w:val="multilevel"/>
    <w:tmpl w:val="E91EA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072916"/>
    <w:multiLevelType w:val="multilevel"/>
    <w:tmpl w:val="FB8242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BAE73CB"/>
    <w:multiLevelType w:val="multilevel"/>
    <w:tmpl w:val="23282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48A4728"/>
    <w:multiLevelType w:val="multilevel"/>
    <w:tmpl w:val="2A488D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42242C"/>
    <w:multiLevelType w:val="multilevel"/>
    <w:tmpl w:val="ECDC46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lvlOverride w:ilvl="0">
      <w:lvl w:ilvl="0">
        <w:numFmt w:val="decimal"/>
        <w:lvlText w:val="%1."/>
        <w:lvlJc w:val="left"/>
      </w:lvl>
    </w:lvlOverride>
  </w:num>
  <w:num w:numId="3">
    <w:abstractNumId w:val="0"/>
    <w:lvlOverride w:ilvl="0">
      <w:lvl w:ilvl="0">
        <w:numFmt w:val="decimal"/>
        <w:lvlText w:val="%1."/>
        <w:lvlJc w:val="left"/>
      </w:lvl>
    </w:lvlOverride>
  </w:num>
  <w:num w:numId="4">
    <w:abstractNumId w:val="5"/>
    <w:lvlOverride w:ilvl="0">
      <w:lvl w:ilvl="0">
        <w:numFmt w:val="decimal"/>
        <w:lvlText w:val="%1."/>
        <w:lvlJc w:val="left"/>
      </w:lvl>
    </w:lvlOverride>
  </w:num>
  <w:num w:numId="5">
    <w:abstractNumId w:val="7"/>
    <w:lvlOverride w:ilvl="0">
      <w:lvl w:ilvl="0">
        <w:numFmt w:val="decimal"/>
        <w:lvlText w:val="%1."/>
        <w:lvlJc w:val="left"/>
      </w:lvl>
    </w:lvlOverride>
  </w:num>
  <w:num w:numId="6">
    <w:abstractNumId w:val="6"/>
    <w:lvlOverride w:ilvl="0">
      <w:lvl w:ilvl="0">
        <w:numFmt w:val="decimal"/>
        <w:lvlText w:val="%1."/>
        <w:lvlJc w:val="left"/>
      </w:lvl>
    </w:lvlOverride>
  </w:num>
  <w:num w:numId="7">
    <w:abstractNumId w:val="4"/>
    <w:lvlOverride w:ilvl="0">
      <w:lvl w:ilvl="0">
        <w:numFmt w:val="decimal"/>
        <w:lvlText w:val="%1."/>
        <w:lvlJc w:val="left"/>
      </w:lvl>
    </w:lvlOverride>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0"/>
    <w:footnote w:id="1"/>
  </w:footnotePr>
  <w:endnotePr>
    <w:endnote w:id="0"/>
    <w:endnote w:id="1"/>
  </w:endnotePr>
  <w:compat/>
  <w:rsids>
    <w:rsidRoot w:val="009E77EE"/>
    <w:rsid w:val="00026430"/>
    <w:rsid w:val="00030DF5"/>
    <w:rsid w:val="0003615C"/>
    <w:rsid w:val="000376AB"/>
    <w:rsid w:val="00043882"/>
    <w:rsid w:val="00062864"/>
    <w:rsid w:val="00067370"/>
    <w:rsid w:val="000713D7"/>
    <w:rsid w:val="00071CFB"/>
    <w:rsid w:val="00077DAC"/>
    <w:rsid w:val="00080837"/>
    <w:rsid w:val="00081FFF"/>
    <w:rsid w:val="00085D07"/>
    <w:rsid w:val="000A6628"/>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61738"/>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77974"/>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C6AFC"/>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96121"/>
    <w:rsid w:val="007B0FD7"/>
    <w:rsid w:val="007B3715"/>
    <w:rsid w:val="007B6DE7"/>
    <w:rsid w:val="007B7BA5"/>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E77EE"/>
    <w:rsid w:val="009F4E01"/>
    <w:rsid w:val="00A06A2B"/>
    <w:rsid w:val="00A07090"/>
    <w:rsid w:val="00A11AD7"/>
    <w:rsid w:val="00A1286B"/>
    <w:rsid w:val="00A240CA"/>
    <w:rsid w:val="00A32076"/>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35E3B"/>
    <w:rsid w:val="00F41DF6"/>
    <w:rsid w:val="00F52245"/>
    <w:rsid w:val="00F5569F"/>
    <w:rsid w:val="00F60308"/>
    <w:rsid w:val="00F640D0"/>
    <w:rsid w:val="00F75389"/>
    <w:rsid w:val="00F80492"/>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4C6AFC"/>
    <w:pPr>
      <w:spacing w:before="100" w:beforeAutospacing="1" w:after="100" w:afterAutospacing="1"/>
      <w:jc w:val="left"/>
    </w:pPr>
    <w:rPr>
      <w:szCs w:val="24"/>
      <w:lang w:val="es-AR" w:eastAsia="es-AR"/>
    </w:rPr>
  </w:style>
  <w:style w:type="paragraph" w:styleId="Prrafodelista">
    <w:name w:val="List Paragraph"/>
    <w:basedOn w:val="Normal"/>
    <w:uiPriority w:val="34"/>
    <w:qFormat/>
    <w:rsid w:val="004C6AFC"/>
    <w:pPr>
      <w:ind w:left="720"/>
      <w:contextualSpacing/>
    </w:pPr>
  </w:style>
</w:styles>
</file>

<file path=word/webSettings.xml><?xml version="1.0" encoding="utf-8"?>
<w:webSettings xmlns:r="http://schemas.openxmlformats.org/officeDocument/2006/relationships" xmlns:w="http://schemas.openxmlformats.org/wordprocessingml/2006/main">
  <w:divs>
    <w:div w:id="149167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leiras\Downloads\ib2awgx1el_1587595525.1739%20(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(6)</Template>
  <TotalTime>7</TotalTime>
  <Pages>2</Pages>
  <Words>494</Words>
  <Characters>2641</Characters>
  <Application>Microsoft Office Word</Application>
  <DocSecurity>0</DocSecurity>
  <Lines>64</Lines>
  <Paragraphs>17</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maleiras</dc:creator>
  <cp:lastModifiedBy>maleiras</cp:lastModifiedBy>
  <cp:revision>6</cp:revision>
  <cp:lastPrinted>2020-02-28T17:24:00Z</cp:lastPrinted>
  <dcterms:created xsi:type="dcterms:W3CDTF">2022-04-28T14:43:00Z</dcterms:created>
  <dcterms:modified xsi:type="dcterms:W3CDTF">2022-05-02T14:11:00Z</dcterms:modified>
</cp:coreProperties>
</file>