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B99C5" w14:textId="77777777" w:rsidR="005D60EA" w:rsidRPr="00E50177" w:rsidRDefault="005D60EA" w:rsidP="00E50177">
      <w:pPr>
        <w:ind w:firstLine="1560"/>
        <w:rPr>
          <w:b/>
          <w:color w:val="333333"/>
          <w:highlight w:val="white"/>
        </w:rPr>
      </w:pPr>
    </w:p>
    <w:p w14:paraId="6546E318" w14:textId="77777777" w:rsidR="005D60EA" w:rsidRPr="00E50177" w:rsidRDefault="005D60EA" w:rsidP="00E50177">
      <w:pPr>
        <w:ind w:firstLine="1560"/>
        <w:rPr>
          <w:b/>
          <w:color w:val="333333"/>
          <w:highlight w:val="white"/>
        </w:rPr>
      </w:pPr>
      <w:r w:rsidRPr="00E50177">
        <w:rPr>
          <w:b/>
          <w:color w:val="333333"/>
          <w:highlight w:val="white"/>
        </w:rPr>
        <w:tab/>
      </w:r>
    </w:p>
    <w:p w14:paraId="53EA04CA" w14:textId="77777777" w:rsidR="006169FE" w:rsidRDefault="006169FE" w:rsidP="006169FE">
      <w:pPr>
        <w:pStyle w:val="Normal1"/>
        <w:jc w:val="center"/>
        <w:rPr>
          <w:b/>
        </w:rPr>
      </w:pPr>
      <w:bookmarkStart w:id="0" w:name="PDeclaración"/>
      <w:bookmarkEnd w:id="0"/>
      <w:r>
        <w:rPr>
          <w:b/>
        </w:rPr>
        <w:t>PROYECTO DE DECLARACIÓN</w:t>
      </w:r>
    </w:p>
    <w:p w14:paraId="53C6A7FA" w14:textId="77777777" w:rsidR="006169FE" w:rsidRDefault="006169FE" w:rsidP="006169FE">
      <w:pPr>
        <w:pStyle w:val="Normal1"/>
        <w:rPr>
          <w:b/>
        </w:rPr>
      </w:pPr>
    </w:p>
    <w:p w14:paraId="0726FF8F" w14:textId="77777777" w:rsidR="006169FE" w:rsidRDefault="006169FE" w:rsidP="006169FE">
      <w:pPr>
        <w:pStyle w:val="Normal1"/>
      </w:pPr>
    </w:p>
    <w:p w14:paraId="7E26CD57" w14:textId="77777777" w:rsidR="006169FE" w:rsidRDefault="006169FE" w:rsidP="006169FE">
      <w:pPr>
        <w:pStyle w:val="Normal1"/>
      </w:pPr>
      <w:r>
        <w:t>Declárase de Interés para la Comunicación Social y la Promoción y Defensa de los Derechos Humanos de la Ciudad Autónoma de Buenos Aires el libro "</w:t>
      </w:r>
      <w:proofErr w:type="spellStart"/>
      <w:r>
        <w:t>Negacionismo</w:t>
      </w:r>
      <w:proofErr w:type="spellEnd"/>
      <w:r>
        <w:t xml:space="preserve"> del Genocidio Armenio. Una visión desde el presente", compilado por la Dra. Nélida Elena </w:t>
      </w:r>
      <w:proofErr w:type="spellStart"/>
      <w:r>
        <w:t>Boulgourdjian</w:t>
      </w:r>
      <w:proofErr w:type="spellEnd"/>
      <w:r>
        <w:t xml:space="preserve"> y publicado por la editorial "Prometeo" y la editorial de la Universidad Nacional de Tres de Febrero. </w:t>
      </w:r>
    </w:p>
    <w:p w14:paraId="31A06BE2" w14:textId="77777777" w:rsidR="006169FE" w:rsidRDefault="006169FE" w:rsidP="006169FE">
      <w:pPr>
        <w:pStyle w:val="Normal1"/>
      </w:pPr>
    </w:p>
    <w:p w14:paraId="72577884" w14:textId="77777777" w:rsidR="006169FE" w:rsidRDefault="006169FE" w:rsidP="006169FE">
      <w:pPr>
        <w:pStyle w:val="Normal1"/>
      </w:pPr>
    </w:p>
    <w:p w14:paraId="20B761BB" w14:textId="77777777" w:rsidR="006169FE" w:rsidRDefault="006169FE" w:rsidP="006169FE">
      <w:pPr>
        <w:pStyle w:val="Normal1"/>
      </w:pPr>
    </w:p>
    <w:p w14:paraId="362D0D7D" w14:textId="77777777" w:rsidR="006169FE" w:rsidRDefault="006169FE" w:rsidP="006169FE">
      <w:pPr>
        <w:pStyle w:val="Normal1"/>
      </w:pPr>
    </w:p>
    <w:p w14:paraId="796B43FB" w14:textId="77777777" w:rsidR="006169FE" w:rsidRDefault="006169FE" w:rsidP="006169FE">
      <w:pPr>
        <w:pStyle w:val="Normal1"/>
      </w:pPr>
    </w:p>
    <w:p w14:paraId="231BF0A4" w14:textId="77777777" w:rsidR="006169FE" w:rsidRDefault="006169FE" w:rsidP="006169FE">
      <w:pPr>
        <w:pStyle w:val="Normal1"/>
      </w:pPr>
    </w:p>
    <w:p w14:paraId="01EB922F" w14:textId="77777777" w:rsidR="006169FE" w:rsidRDefault="006169FE" w:rsidP="006169FE">
      <w:pPr>
        <w:pStyle w:val="Normal1"/>
      </w:pPr>
    </w:p>
    <w:p w14:paraId="4553B6F1" w14:textId="77777777" w:rsidR="006169FE" w:rsidRDefault="006169FE" w:rsidP="006169FE">
      <w:pPr>
        <w:pStyle w:val="Normal1"/>
      </w:pPr>
    </w:p>
    <w:p w14:paraId="379E194A" w14:textId="77777777" w:rsidR="006169FE" w:rsidRDefault="006169FE" w:rsidP="006169FE">
      <w:pPr>
        <w:pStyle w:val="Normal1"/>
      </w:pPr>
    </w:p>
    <w:p w14:paraId="473CFF47" w14:textId="77777777" w:rsidR="006169FE" w:rsidRDefault="006169FE" w:rsidP="006169FE">
      <w:pPr>
        <w:pStyle w:val="Normal1"/>
      </w:pPr>
    </w:p>
    <w:p w14:paraId="0A1A2701" w14:textId="77777777" w:rsidR="006169FE" w:rsidRDefault="006169FE" w:rsidP="006169FE">
      <w:pPr>
        <w:pStyle w:val="Normal1"/>
      </w:pPr>
    </w:p>
    <w:p w14:paraId="28570D88" w14:textId="77777777" w:rsidR="006169FE" w:rsidRDefault="006169FE" w:rsidP="006169FE">
      <w:pPr>
        <w:pStyle w:val="Normal1"/>
      </w:pPr>
    </w:p>
    <w:p w14:paraId="2EAEEEC7" w14:textId="77777777" w:rsidR="006169FE" w:rsidRDefault="006169FE" w:rsidP="006169FE">
      <w:pPr>
        <w:pStyle w:val="Normal1"/>
      </w:pPr>
    </w:p>
    <w:p w14:paraId="080B1001" w14:textId="77777777" w:rsidR="006169FE" w:rsidRDefault="006169FE" w:rsidP="006169FE">
      <w:pPr>
        <w:pStyle w:val="Normal1"/>
      </w:pPr>
    </w:p>
    <w:p w14:paraId="2B71A352" w14:textId="77777777" w:rsidR="006169FE" w:rsidRDefault="006169FE" w:rsidP="006169FE">
      <w:pPr>
        <w:pStyle w:val="Normal1"/>
      </w:pPr>
    </w:p>
    <w:p w14:paraId="41935A07" w14:textId="77777777" w:rsidR="006169FE" w:rsidRDefault="006169FE" w:rsidP="006169FE">
      <w:pPr>
        <w:pStyle w:val="Normal1"/>
      </w:pPr>
    </w:p>
    <w:p w14:paraId="4CF1A532" w14:textId="77777777" w:rsidR="006169FE" w:rsidRDefault="006169FE" w:rsidP="006169FE">
      <w:pPr>
        <w:pStyle w:val="Normal1"/>
      </w:pPr>
    </w:p>
    <w:p w14:paraId="6D5B4328" w14:textId="77777777" w:rsidR="006169FE" w:rsidRDefault="006169FE" w:rsidP="006169FE">
      <w:pPr>
        <w:pStyle w:val="Normal1"/>
      </w:pPr>
    </w:p>
    <w:p w14:paraId="612C471F" w14:textId="77777777" w:rsidR="006169FE" w:rsidRDefault="006169FE" w:rsidP="006169FE">
      <w:pPr>
        <w:pStyle w:val="Normal1"/>
      </w:pPr>
    </w:p>
    <w:p w14:paraId="7AB1582F" w14:textId="77777777" w:rsidR="006169FE" w:rsidRDefault="006169FE" w:rsidP="006169FE">
      <w:pPr>
        <w:pStyle w:val="Normal1"/>
      </w:pPr>
    </w:p>
    <w:p w14:paraId="009100CF" w14:textId="77777777" w:rsidR="006169FE" w:rsidRDefault="006169FE" w:rsidP="006169FE">
      <w:pPr>
        <w:pStyle w:val="Normal1"/>
      </w:pPr>
    </w:p>
    <w:p w14:paraId="55D8B0E2" w14:textId="77777777" w:rsidR="006169FE" w:rsidRDefault="006169FE" w:rsidP="006169FE">
      <w:pPr>
        <w:pStyle w:val="Normal1"/>
      </w:pPr>
    </w:p>
    <w:p w14:paraId="7506A3F8" w14:textId="77777777" w:rsidR="006169FE" w:rsidRDefault="006169FE" w:rsidP="006169FE">
      <w:pPr>
        <w:pStyle w:val="Normal1"/>
      </w:pPr>
    </w:p>
    <w:p w14:paraId="1ACD4C8B" w14:textId="77777777" w:rsidR="006169FE" w:rsidRDefault="006169FE" w:rsidP="006169FE">
      <w:pPr>
        <w:pStyle w:val="Normal1"/>
      </w:pPr>
    </w:p>
    <w:p w14:paraId="50FE3641" w14:textId="77777777" w:rsidR="006169FE" w:rsidRDefault="006169FE" w:rsidP="006169FE">
      <w:pPr>
        <w:pStyle w:val="Normal1"/>
      </w:pPr>
    </w:p>
    <w:p w14:paraId="43743993" w14:textId="77777777" w:rsidR="006169FE" w:rsidRDefault="006169FE" w:rsidP="006169FE">
      <w:pPr>
        <w:pStyle w:val="Normal1"/>
      </w:pPr>
    </w:p>
    <w:p w14:paraId="5CD18DB3" w14:textId="77777777" w:rsidR="006169FE" w:rsidRDefault="006169FE" w:rsidP="006169FE">
      <w:pPr>
        <w:pStyle w:val="Normal1"/>
      </w:pPr>
    </w:p>
    <w:p w14:paraId="6E35E8F0" w14:textId="77777777" w:rsidR="006169FE" w:rsidRDefault="006169FE" w:rsidP="006169FE">
      <w:pPr>
        <w:pStyle w:val="Normal1"/>
      </w:pPr>
    </w:p>
    <w:p w14:paraId="25362205" w14:textId="77777777" w:rsidR="006169FE" w:rsidRDefault="006169FE" w:rsidP="006169FE">
      <w:pPr>
        <w:pStyle w:val="Normal1"/>
      </w:pPr>
    </w:p>
    <w:p w14:paraId="28C3E3C6" w14:textId="77777777" w:rsidR="006169FE" w:rsidRDefault="006169FE" w:rsidP="006169FE">
      <w:pPr>
        <w:pStyle w:val="Normal1"/>
      </w:pPr>
    </w:p>
    <w:p w14:paraId="7E05E11E" w14:textId="77777777" w:rsidR="006169FE" w:rsidRDefault="006169FE" w:rsidP="006169FE">
      <w:pPr>
        <w:pStyle w:val="Normal1"/>
      </w:pPr>
    </w:p>
    <w:p w14:paraId="429A32F6" w14:textId="77777777" w:rsidR="006169FE" w:rsidRDefault="006169FE" w:rsidP="006169FE">
      <w:pPr>
        <w:pStyle w:val="Normal1"/>
      </w:pPr>
    </w:p>
    <w:p w14:paraId="30A1D2F9" w14:textId="77777777" w:rsidR="006169FE" w:rsidRDefault="006169FE" w:rsidP="006169FE">
      <w:pPr>
        <w:pStyle w:val="Normal1"/>
      </w:pPr>
    </w:p>
    <w:p w14:paraId="4B27587F" w14:textId="77777777" w:rsidR="006169FE" w:rsidRDefault="006169FE" w:rsidP="006169FE">
      <w:pPr>
        <w:pStyle w:val="Normal1"/>
      </w:pPr>
    </w:p>
    <w:p w14:paraId="3F7AE943" w14:textId="77777777" w:rsidR="006169FE" w:rsidRDefault="006169FE" w:rsidP="006169FE">
      <w:pPr>
        <w:pStyle w:val="Normal1"/>
      </w:pPr>
    </w:p>
    <w:p w14:paraId="6953831C" w14:textId="77777777" w:rsidR="006169FE" w:rsidRDefault="006169FE" w:rsidP="006169FE">
      <w:pPr>
        <w:pStyle w:val="Normal1"/>
      </w:pPr>
    </w:p>
    <w:p w14:paraId="43D9A5DC" w14:textId="77777777" w:rsidR="006169FE" w:rsidRDefault="006169FE" w:rsidP="006169FE">
      <w:pPr>
        <w:pStyle w:val="Normal1"/>
      </w:pPr>
    </w:p>
    <w:p w14:paraId="0FBCB6DA" w14:textId="77777777" w:rsidR="006169FE" w:rsidRDefault="006169FE" w:rsidP="006169FE">
      <w:pPr>
        <w:pStyle w:val="Normal1"/>
      </w:pPr>
    </w:p>
    <w:p w14:paraId="55BF7913" w14:textId="77777777" w:rsidR="006169FE" w:rsidRDefault="006169FE" w:rsidP="006169FE">
      <w:pPr>
        <w:pStyle w:val="Normal1"/>
      </w:pPr>
    </w:p>
    <w:p w14:paraId="2D94AA5E" w14:textId="77777777" w:rsidR="006169FE" w:rsidRDefault="006169FE" w:rsidP="006169FE">
      <w:pPr>
        <w:pStyle w:val="Normal1"/>
      </w:pPr>
    </w:p>
    <w:p w14:paraId="3B58912B" w14:textId="77777777" w:rsidR="006169FE" w:rsidRDefault="006169FE" w:rsidP="006169FE">
      <w:pPr>
        <w:pStyle w:val="Normal1"/>
      </w:pPr>
    </w:p>
    <w:p w14:paraId="4FC6013A" w14:textId="77777777" w:rsidR="006169FE" w:rsidRDefault="006169FE" w:rsidP="006169FE">
      <w:pPr>
        <w:pStyle w:val="Normal1"/>
      </w:pPr>
    </w:p>
    <w:p w14:paraId="7A29E968" w14:textId="77777777" w:rsidR="006169FE" w:rsidRDefault="006169FE" w:rsidP="006169FE">
      <w:pPr>
        <w:pStyle w:val="Normal1"/>
      </w:pPr>
    </w:p>
    <w:p w14:paraId="34EC24BB" w14:textId="77777777" w:rsidR="006169FE" w:rsidRDefault="006169FE" w:rsidP="006169FE">
      <w:pPr>
        <w:pStyle w:val="Normal1"/>
      </w:pPr>
    </w:p>
    <w:p w14:paraId="6249EDC7" w14:textId="77777777" w:rsidR="006169FE" w:rsidRDefault="006169FE" w:rsidP="006169FE">
      <w:pPr>
        <w:pStyle w:val="Normal1"/>
      </w:pPr>
    </w:p>
    <w:p w14:paraId="4933CEF3" w14:textId="77777777" w:rsidR="006169FE" w:rsidRDefault="006169FE" w:rsidP="006169FE">
      <w:pPr>
        <w:pStyle w:val="Normal1"/>
      </w:pPr>
    </w:p>
    <w:p w14:paraId="63970A14" w14:textId="77777777" w:rsidR="006169FE" w:rsidRDefault="006169FE" w:rsidP="006169FE">
      <w:pPr>
        <w:pStyle w:val="Normal1"/>
        <w:jc w:val="center"/>
        <w:rPr>
          <w:b/>
        </w:rPr>
      </w:pPr>
    </w:p>
    <w:p w14:paraId="346A9E3F" w14:textId="77777777" w:rsidR="006169FE" w:rsidRDefault="006169FE" w:rsidP="006169FE">
      <w:pPr>
        <w:pStyle w:val="Normal1"/>
        <w:jc w:val="center"/>
        <w:rPr>
          <w:b/>
        </w:rPr>
      </w:pPr>
    </w:p>
    <w:p w14:paraId="07E2C1DE" w14:textId="77777777" w:rsidR="006169FE" w:rsidRDefault="006169FE" w:rsidP="006169FE">
      <w:pPr>
        <w:pStyle w:val="Normal1"/>
        <w:jc w:val="center"/>
        <w:rPr>
          <w:b/>
        </w:rPr>
      </w:pPr>
    </w:p>
    <w:p w14:paraId="7945AFD3" w14:textId="74E81E63" w:rsidR="006169FE" w:rsidRDefault="006169FE" w:rsidP="006169FE">
      <w:pPr>
        <w:pStyle w:val="Normal1"/>
        <w:jc w:val="center"/>
        <w:rPr>
          <w:b/>
        </w:rPr>
      </w:pPr>
      <w:r>
        <w:rPr>
          <w:b/>
        </w:rPr>
        <w:t>FUNDAMENTOS</w:t>
      </w:r>
    </w:p>
    <w:p w14:paraId="017722CC" w14:textId="77777777" w:rsidR="006169FE" w:rsidRDefault="006169FE" w:rsidP="006169FE">
      <w:pPr>
        <w:pStyle w:val="Normal1"/>
      </w:pPr>
    </w:p>
    <w:p w14:paraId="527EAA60" w14:textId="77777777" w:rsidR="006169FE" w:rsidRDefault="006169FE" w:rsidP="006169FE">
      <w:pPr>
        <w:pStyle w:val="Normal1"/>
        <w:spacing w:before="240" w:after="240"/>
      </w:pPr>
      <w:r>
        <w:t xml:space="preserve">Señor </w:t>
      </w:r>
      <w:proofErr w:type="gramStart"/>
      <w:r>
        <w:t>Presidente</w:t>
      </w:r>
      <w:proofErr w:type="gramEnd"/>
      <w:r>
        <w:t>:</w:t>
      </w:r>
    </w:p>
    <w:p w14:paraId="605AFC8A" w14:textId="77777777" w:rsidR="006169FE" w:rsidRDefault="006169FE" w:rsidP="006169FE">
      <w:pPr>
        <w:pStyle w:val="Normal1"/>
        <w:spacing w:before="240" w:after="240"/>
        <w:ind w:firstLine="708"/>
      </w:pPr>
      <w:r>
        <w:t>El presente proyecto tiene como objeto declarar de interés para la Comunicación Social y la Promoción y Defensa de los Derechos Humanos de la Ciudad Autónoma de Buenos Aires el libro "</w:t>
      </w:r>
      <w:proofErr w:type="spellStart"/>
      <w:r>
        <w:t>Negacionismo</w:t>
      </w:r>
      <w:proofErr w:type="spellEnd"/>
      <w:r>
        <w:t xml:space="preserve"> del Genocidio Armenio. Una visión desde el presente", compilado por la Dra. Nélida Elena </w:t>
      </w:r>
      <w:proofErr w:type="spellStart"/>
      <w:r>
        <w:t>Boulgourdjian</w:t>
      </w:r>
      <w:proofErr w:type="spellEnd"/>
      <w:r>
        <w:t>.</w:t>
      </w:r>
    </w:p>
    <w:p w14:paraId="1D97335F" w14:textId="77777777" w:rsidR="006169FE" w:rsidRDefault="006169FE" w:rsidP="006169FE">
      <w:pPr>
        <w:pStyle w:val="Normal1"/>
        <w:spacing w:before="240" w:after="240"/>
        <w:ind w:firstLine="708"/>
      </w:pPr>
      <w:r>
        <w:t xml:space="preserve"> La presente obra histórica nos lleva a recorrer la temática del genocidio contra el pueblo armenio a partir de los trabajos de investigación y la mirada de distintos/as autores/as profesionales desde sus respectivos ámbitos. Ellos/as realizan un análisis de los acontecimientos desde distintas perspectivas y momentos otorgándole actualidad a la temática.</w:t>
      </w:r>
    </w:p>
    <w:p w14:paraId="4C9A72F1" w14:textId="77777777" w:rsidR="006169FE" w:rsidRDefault="006169FE" w:rsidP="006169FE">
      <w:pPr>
        <w:pStyle w:val="Normal1"/>
        <w:spacing w:before="240" w:after="240"/>
        <w:ind w:firstLine="708"/>
      </w:pPr>
      <w:r>
        <w:t xml:space="preserve">Este libro reúne los trabajos de pioneros en la temática como </w:t>
      </w:r>
      <w:proofErr w:type="spellStart"/>
      <w:r>
        <w:t>Vahakn</w:t>
      </w:r>
      <w:proofErr w:type="spellEnd"/>
      <w:r>
        <w:t xml:space="preserve"> </w:t>
      </w:r>
      <w:proofErr w:type="spellStart"/>
      <w:r>
        <w:t>Dadrian</w:t>
      </w:r>
      <w:proofErr w:type="spellEnd"/>
      <w:r>
        <w:t xml:space="preserve">, Richard </w:t>
      </w:r>
      <w:proofErr w:type="spellStart"/>
      <w:r>
        <w:t>Hovannisian</w:t>
      </w:r>
      <w:proofErr w:type="spellEnd"/>
      <w:r>
        <w:t xml:space="preserve">, Roger Smith, Yves </w:t>
      </w:r>
      <w:proofErr w:type="spellStart"/>
      <w:r>
        <w:t>Ternon</w:t>
      </w:r>
      <w:proofErr w:type="spellEnd"/>
      <w:r>
        <w:t xml:space="preserve">, Claire </w:t>
      </w:r>
      <w:proofErr w:type="spellStart"/>
      <w:r>
        <w:t>Muradian</w:t>
      </w:r>
      <w:proofErr w:type="spellEnd"/>
      <w:r>
        <w:t xml:space="preserve">, </w:t>
      </w:r>
      <w:proofErr w:type="spellStart"/>
      <w:r>
        <w:t>Taner</w:t>
      </w:r>
      <w:proofErr w:type="spellEnd"/>
      <w:r>
        <w:t xml:space="preserve"> </w:t>
      </w:r>
      <w:proofErr w:type="spellStart"/>
      <w:r>
        <w:t>Akçam</w:t>
      </w:r>
      <w:proofErr w:type="spellEnd"/>
      <w:r>
        <w:t xml:space="preserve">, </w:t>
      </w:r>
      <w:proofErr w:type="spellStart"/>
      <w:r>
        <w:t>Ugur</w:t>
      </w:r>
      <w:proofErr w:type="spellEnd"/>
      <w:r>
        <w:t xml:space="preserve"> </w:t>
      </w:r>
      <w:proofErr w:type="spellStart"/>
      <w:r>
        <w:t>Ümit</w:t>
      </w:r>
      <w:proofErr w:type="spellEnd"/>
      <w:r>
        <w:t xml:space="preserve"> </w:t>
      </w:r>
      <w:proofErr w:type="spellStart"/>
      <w:r>
        <w:t>Ünğör</w:t>
      </w:r>
      <w:proofErr w:type="spellEnd"/>
      <w:r>
        <w:t xml:space="preserve">, Mehmet </w:t>
      </w:r>
      <w:proofErr w:type="spellStart"/>
      <w:r>
        <w:t>Polatel</w:t>
      </w:r>
      <w:proofErr w:type="spellEnd"/>
      <w:r>
        <w:t xml:space="preserve">, </w:t>
      </w:r>
      <w:proofErr w:type="spellStart"/>
      <w:r>
        <w:t>Sévane</w:t>
      </w:r>
      <w:proofErr w:type="spellEnd"/>
      <w:r>
        <w:t xml:space="preserve"> </w:t>
      </w:r>
      <w:proofErr w:type="spellStart"/>
      <w:r>
        <w:t>Garibian</w:t>
      </w:r>
      <w:proofErr w:type="spellEnd"/>
      <w:r>
        <w:t xml:space="preserve">, Marc </w:t>
      </w:r>
      <w:proofErr w:type="spellStart"/>
      <w:r>
        <w:t>Mamigonian</w:t>
      </w:r>
      <w:proofErr w:type="spellEnd"/>
      <w:r>
        <w:t xml:space="preserve">, Adolfo </w:t>
      </w:r>
      <w:proofErr w:type="spellStart"/>
      <w:r>
        <w:t>Koutoudjian</w:t>
      </w:r>
      <w:proofErr w:type="spellEnd"/>
      <w:r>
        <w:t xml:space="preserve">, </w:t>
      </w:r>
      <w:proofErr w:type="spellStart"/>
      <w:r>
        <w:t>Khatchik</w:t>
      </w:r>
      <w:proofErr w:type="spellEnd"/>
      <w:r>
        <w:t xml:space="preserve"> Der </w:t>
      </w:r>
      <w:proofErr w:type="spellStart"/>
      <w:r>
        <w:t>Ghougassian</w:t>
      </w:r>
      <w:proofErr w:type="spellEnd"/>
      <w:r>
        <w:t xml:space="preserve">, Celina Lértora Mendoza, Nélida Elena </w:t>
      </w:r>
      <w:proofErr w:type="spellStart"/>
      <w:r>
        <w:t>Boulgourdjian</w:t>
      </w:r>
      <w:proofErr w:type="spellEnd"/>
      <w:r>
        <w:t xml:space="preserve"> y Eugenio Raúl </w:t>
      </w:r>
      <w:proofErr w:type="spellStart"/>
      <w:r>
        <w:t>Zaffaroni</w:t>
      </w:r>
      <w:proofErr w:type="spellEnd"/>
      <w:r>
        <w:t xml:space="preserve">. </w:t>
      </w:r>
    </w:p>
    <w:p w14:paraId="5C386090" w14:textId="77777777" w:rsidR="006169FE" w:rsidRDefault="006169FE" w:rsidP="006169FE">
      <w:pPr>
        <w:pStyle w:val="Normal1"/>
        <w:spacing w:before="240" w:after="240"/>
        <w:ind w:firstLine="708"/>
      </w:pPr>
      <w:r>
        <w:t xml:space="preserve">Diversos historiadores relatan que el Genocidio Armenio comenzó a gestarse durante el año 1914 en el entonces Imperio Otomano, en donde se sucedían ciertos hechos que vislumbrarían las atrocidades que acaecerían poco tiempo después. La estrategia de propaganda por parte de las autoridades de dicho Imperio en contra de los aproximadamente dos millones (2.000.000) de armenios que habitaban en él era presentarlos como una </w:t>
      </w:r>
      <w:r>
        <w:rPr>
          <w:i/>
        </w:rPr>
        <w:t>"amenaza latente para la seguridad nacional</w:t>
      </w:r>
      <w:r>
        <w:t>".</w:t>
      </w:r>
    </w:p>
    <w:p w14:paraId="79DD6C6B" w14:textId="77777777" w:rsidR="006169FE" w:rsidRDefault="006169FE" w:rsidP="006169FE">
      <w:pPr>
        <w:pStyle w:val="Normal1"/>
        <w:spacing w:before="240" w:after="240"/>
        <w:ind w:firstLine="708"/>
      </w:pPr>
      <w:r>
        <w:t xml:space="preserve">Tiempo después el 24 de abril de 1915, justo un día antes del desembarco aliado en la península turca de Galípoli durante la Primera Guerra Mundial, las autoridades otomanas bajo las órdenes del partido político nacionalista, llamado "Comité de Unión y Progreso", también conocidos como los "Jóvenes Turcos", arrestaron a la élite intelectual y política de la comunidad cristiana armenia hasta un total de 250 personas, entre ellas, algunos diputados del parlamento otomano, ubicándolos en centros de detención en Constantinopla (actual Estambul). Así, comenzó el primer genocidio del siglo XX, donde más de un millón quinientos mil (1.500.000) armenios fueron ejecutados y deportados. </w:t>
      </w:r>
    </w:p>
    <w:p w14:paraId="3E954B98" w14:textId="77777777" w:rsidR="006169FE" w:rsidRDefault="006169FE" w:rsidP="006169FE">
      <w:pPr>
        <w:pStyle w:val="Normal1"/>
        <w:spacing w:before="240" w:after="240"/>
        <w:ind w:firstLine="708"/>
      </w:pPr>
      <w:r>
        <w:t xml:space="preserve">En este sentido, el libro a declarar nos lleva a recorrer la temática y se aborda el </w:t>
      </w:r>
      <w:proofErr w:type="spellStart"/>
      <w:r>
        <w:t>negacionismo</w:t>
      </w:r>
      <w:proofErr w:type="spellEnd"/>
      <w:r>
        <w:t xml:space="preserve"> del Genocidio Armenio desde distintos ejes. Entiende al mismo como un proceso con distintas etapas donde comienza con la negación y sigue con la racionalización, relativización y banalización como </w:t>
      </w:r>
      <w:r>
        <w:rPr>
          <w:i/>
        </w:rPr>
        <w:t>"estrategia para engendrar dudas con la finalidad de disimular la desinformación apelando al juego limpio y a la necesidad de entender y escuchar la parte adversa del problema que sería mal comprendido y presentado".</w:t>
      </w:r>
    </w:p>
    <w:p w14:paraId="0081D07A" w14:textId="77777777" w:rsidR="006169FE" w:rsidRDefault="006169FE" w:rsidP="006169FE">
      <w:pPr>
        <w:pStyle w:val="Normal1"/>
        <w:spacing w:before="240" w:after="240"/>
        <w:ind w:firstLine="708"/>
      </w:pPr>
      <w:r>
        <w:t xml:space="preserve">Asimismo, se explican las implicancias políticas y psicológicas de la negación y cómo, a nivel moral y cultural, la negación prolonga el genocidio hasta el día de hoy al sugerir que los armenios </w:t>
      </w:r>
      <w:r>
        <w:rPr>
          <w:i/>
        </w:rPr>
        <w:t>"merecían su destino y que la extirpación de todo rastro de su existencia estaba justificada"</w:t>
      </w:r>
      <w:r>
        <w:t xml:space="preserve">. </w:t>
      </w:r>
    </w:p>
    <w:p w14:paraId="0F278C06" w14:textId="77777777" w:rsidR="006169FE" w:rsidRDefault="006169FE" w:rsidP="006169FE">
      <w:pPr>
        <w:pStyle w:val="Normal1"/>
        <w:spacing w:before="240" w:after="240"/>
        <w:ind w:firstLine="708"/>
      </w:pPr>
      <w:r>
        <w:t xml:space="preserve">Estas cuestiones, acompañadas por el proceso de desposeimiento y confiscación de bienes que sufrió la comunidad armenia, la invención de una narrativa oficial a partir de la creación de la República de Turquía y el contexto geopolítico y estratégico de aquel entonces, explican distintos hechos que suceden en el siglo XXI que relativizan lo sucedido y amenazan con la posibilidad de que al </w:t>
      </w:r>
      <w:proofErr w:type="spellStart"/>
      <w:r>
        <w:t>negacionismo</w:t>
      </w:r>
      <w:proofErr w:type="spellEnd"/>
      <w:r>
        <w:t xml:space="preserve"> lo suceda una etapa de </w:t>
      </w:r>
      <w:r>
        <w:lastRenderedPageBreak/>
        <w:t xml:space="preserve">revisionismo que ponga en duda los hechos perpetrados por el entonces Imperio Otomano. </w:t>
      </w:r>
    </w:p>
    <w:p w14:paraId="7B338264" w14:textId="77777777" w:rsidR="006169FE" w:rsidRDefault="006169FE" w:rsidP="006169FE">
      <w:pPr>
        <w:pStyle w:val="Normal1"/>
        <w:spacing w:before="240" w:after="240"/>
        <w:ind w:firstLine="708"/>
      </w:pPr>
      <w:r>
        <w:t xml:space="preserve">Al día de hoy, Turquía sigue negando el genocidio y aduce que la masacre fue producto de </w:t>
      </w:r>
      <w:r>
        <w:rPr>
          <w:i/>
        </w:rPr>
        <w:t>"luchas interétnicas, enfermedades y la hambruna durante la Primera Guerra Mundial"</w:t>
      </w:r>
      <w:r>
        <w:t xml:space="preserve">, presionando a otros Estados a desconocer lo sucedido. A pesar de ello, su aliado de aquel entonces, Alemania, ya ha reconocido el Genocidio Armenio como tal. </w:t>
      </w:r>
    </w:p>
    <w:p w14:paraId="021E3539" w14:textId="77777777" w:rsidR="006169FE" w:rsidRDefault="006169FE" w:rsidP="006169FE">
      <w:pPr>
        <w:pStyle w:val="Normal1"/>
        <w:spacing w:before="240" w:after="240"/>
        <w:ind w:firstLine="708"/>
      </w:pPr>
      <w:r>
        <w:t xml:space="preserve">Vale destacar que la República Argentina durante décadas ha acompañado el reclamo de la comunidad armenia en pos del reconocimiento de este genocidio y contra el </w:t>
      </w:r>
      <w:proofErr w:type="spellStart"/>
      <w:r>
        <w:t>negacionismo</w:t>
      </w:r>
      <w:proofErr w:type="spellEnd"/>
      <w:r>
        <w:t xml:space="preserve"> del Estado turco. Sin ir más lejos, parte de la diáspora armenia se ubica en dos de las principales ciudades de la República Argentina, Buenos Aires y Córdoba.</w:t>
      </w:r>
    </w:p>
    <w:p w14:paraId="5BEC8361" w14:textId="77777777" w:rsidR="006169FE" w:rsidRDefault="006169FE" w:rsidP="006169FE">
      <w:pPr>
        <w:pStyle w:val="Normal1"/>
        <w:spacing w:before="240" w:after="240"/>
        <w:ind w:firstLine="708"/>
      </w:pPr>
      <w:r>
        <w:t xml:space="preserve">El acompañamiento de nuestro país a esta comunidad se vio reflejado a lo largo de los años en diferentes hechos, dentro de los cuales podemos mencionar el 17 de abril de 1985 cuando la Honorable Cámara de Diputados de la Nación se reunió en sesión extraordinaria para reconocer el Genocidio Armenio e invitó al Poder Ejecutivo Nacional a instrumentar las medidas necesarias ante las Naciones Unidas para la obtención del reconocimiento internacional. Luego, el 19 de junio de ese mismo año, el Honorable Senado de la Nación aprobó el reconocimiento y solicitó al Ministerio de Relaciones Exteriores y Culto de la Nación que dé instrucciones a la delegación argentina ante la Organización de las Naciones Unidas para que apoye el pedido del pueblo armenio. </w:t>
      </w:r>
    </w:p>
    <w:p w14:paraId="1B78F882" w14:textId="77777777" w:rsidR="006169FE" w:rsidRDefault="006169FE" w:rsidP="006169FE">
      <w:pPr>
        <w:pStyle w:val="Normal1"/>
        <w:spacing w:before="240" w:after="240"/>
        <w:ind w:firstLine="708"/>
      </w:pPr>
      <w:r>
        <w:t>Asimismo, en el mes de septiembre de 1987, el entonces presidente Raúl Alfonsín en el marco de un homenaje a la comunidad armenia reconoció públicamente el genocidio.</w:t>
      </w:r>
    </w:p>
    <w:p w14:paraId="0AE25CA9" w14:textId="77777777" w:rsidR="006169FE" w:rsidRDefault="006169FE" w:rsidP="006169FE">
      <w:pPr>
        <w:pStyle w:val="Normal1"/>
        <w:spacing w:before="240" w:after="240"/>
        <w:ind w:firstLine="708"/>
      </w:pPr>
      <w:r>
        <w:t xml:space="preserve">Específicamente, en el caso de la Ciudad Autónoma de Buenos Aires, su entonces Concejo Deliberante en octubre de 1996 incluyó el tratamiento del "Genocidio Armenio" en los contenidos curriculares de las escuelas dependientes de la entonces Secretaría de Educación de la Municipalidad de la Ciudad de Buenos Aires. </w:t>
      </w:r>
    </w:p>
    <w:p w14:paraId="2909732C" w14:textId="77777777" w:rsidR="006169FE" w:rsidRDefault="006169FE" w:rsidP="006169FE">
      <w:pPr>
        <w:pStyle w:val="Normal1"/>
        <w:spacing w:before="240" w:after="240"/>
        <w:ind w:firstLine="708"/>
      </w:pPr>
      <w:r>
        <w:t>De igual manera, una vez autónoma, la Ciudad a través de la Legislatura de la Ciudad de Buenos Aires ha conmemorado el aniversario del inicio del Genocidio Armenio mediante diversas declaraciones presentadas por diputados/as de diferentes espacios políticos en distintas ocasiones.</w:t>
      </w:r>
    </w:p>
    <w:p w14:paraId="6A94262A" w14:textId="77777777" w:rsidR="006169FE" w:rsidRDefault="006169FE" w:rsidP="006169FE">
      <w:pPr>
        <w:pStyle w:val="Normal1"/>
        <w:spacing w:before="240" w:after="240"/>
        <w:ind w:firstLine="708"/>
      </w:pPr>
      <w:r>
        <w:t xml:space="preserve">Habida cuenta del compromiso que tiene la Ciudad con la memoria, es menester que la Legislatura de la Ciudad Autónoma de Buenos reivindique su posición histórica en la materia y acompañe rotundamente toda iniciativa que contribuya con la verdad y la justicia. </w:t>
      </w:r>
    </w:p>
    <w:p w14:paraId="50890887" w14:textId="77777777" w:rsidR="006169FE" w:rsidRDefault="006169FE" w:rsidP="006169FE">
      <w:pPr>
        <w:pStyle w:val="Normal1"/>
        <w:ind w:firstLine="708"/>
      </w:pPr>
      <w:r>
        <w:t xml:space="preserve">Por ello, señor </w:t>
      </w:r>
      <w:proofErr w:type="gramStart"/>
      <w:r>
        <w:t>Presidente</w:t>
      </w:r>
      <w:proofErr w:type="gramEnd"/>
      <w:r>
        <w:t xml:space="preserve">, solicito al cuerpo la sanción del presente proyecto de Declaración. </w:t>
      </w:r>
    </w:p>
    <w:p w14:paraId="3418F2C5" w14:textId="77777777" w:rsidR="006169FE" w:rsidRDefault="006169FE" w:rsidP="006169FE">
      <w:pPr>
        <w:pStyle w:val="Normal1"/>
      </w:pPr>
    </w:p>
    <w:p w14:paraId="3C262D3C" w14:textId="77777777" w:rsidR="006169FE" w:rsidRPr="00E477B1" w:rsidRDefault="006169FE" w:rsidP="006169FE">
      <w:pPr>
        <w:rPr>
          <w:lang w:val="es-MX"/>
        </w:rPr>
      </w:pPr>
    </w:p>
    <w:p w14:paraId="0B7955FC" w14:textId="77777777" w:rsidR="00AF6352" w:rsidRPr="006169FE" w:rsidRDefault="00AF6352" w:rsidP="00E50177">
      <w:pPr>
        <w:jc w:val="center"/>
        <w:rPr>
          <w:lang w:val="es-MX"/>
        </w:rPr>
      </w:pPr>
    </w:p>
    <w:sectPr w:rsidR="00AF6352" w:rsidRPr="006169FE" w:rsidSect="005A3AA1">
      <w:headerReference w:type="default" r:id="rId7"/>
      <w:footerReference w:type="default" r:id="rId8"/>
      <w:pgSz w:w="12242" w:h="20163" w:code="5"/>
      <w:pgMar w:top="2268" w:right="851" w:bottom="1418" w:left="283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596B7" w14:textId="77777777" w:rsidR="00514396" w:rsidRDefault="00514396">
      <w:r>
        <w:separator/>
      </w:r>
    </w:p>
  </w:endnote>
  <w:endnote w:type="continuationSeparator" w:id="0">
    <w:p w14:paraId="512793CE" w14:textId="77777777" w:rsidR="00514396" w:rsidRDefault="00514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B7020" w14:textId="77777777" w:rsidR="00444A06" w:rsidRPr="005D60EA" w:rsidRDefault="00444A06">
    <w:pPr>
      <w:pStyle w:val="Piedepgina"/>
      <w:rPr>
        <w:color w:val="333333"/>
        <w:sz w:val="20"/>
      </w:rPr>
    </w:pPr>
    <w:bookmarkStart w:id="1" w:name="Proyecto"/>
    <w:bookmarkEnd w:id="1"/>
  </w:p>
  <w:p w14:paraId="2AF971A4" w14:textId="33C56126" w:rsidR="00444A06" w:rsidRPr="005D60EA" w:rsidRDefault="00444A06">
    <w:pPr>
      <w:pStyle w:val="Piedepgina"/>
      <w:rPr>
        <w:color w:val="333333"/>
        <w:sz w:val="20"/>
      </w:rPr>
    </w:pPr>
    <w:r w:rsidRPr="005D60EA">
      <w:rPr>
        <w:color w:val="333333"/>
        <w:sz w:val="20"/>
      </w:rPr>
      <w:t xml:space="preserve">Último cambio: </w:t>
    </w:r>
    <w:fldSimple w:instr=" SAVEDATE  \* MERGEFORMAT ">
      <w:r w:rsidR="006169FE" w:rsidRPr="006169FE">
        <w:rPr>
          <w:noProof/>
          <w:color w:val="333333"/>
          <w:sz w:val="20"/>
        </w:rPr>
        <w:t>1/3/22 19:44:00</w:t>
      </w:r>
    </w:fldSimple>
    <w:r w:rsidRPr="005D60EA">
      <w:rPr>
        <w:color w:val="333333"/>
        <w:sz w:val="20"/>
      </w:rPr>
      <w:t xml:space="preserve">  -  Cantidad de caracteres: </w:t>
    </w:r>
    <w:fldSimple w:instr=" NUMCHARS  \* MERGEFORMAT ">
      <w:r w:rsidR="006169FE" w:rsidRPr="006169FE">
        <w:rPr>
          <w:noProof/>
          <w:color w:val="333333"/>
          <w:sz w:val="20"/>
        </w:rPr>
        <w:t>5435</w:t>
      </w:r>
    </w:fldSimple>
    <w:r w:rsidRPr="005D60EA">
      <w:rPr>
        <w:color w:val="333333"/>
        <w:sz w:val="20"/>
      </w:rPr>
      <w:t xml:space="preserve"> - Cantidad de palabras: </w:t>
    </w:r>
    <w:fldSimple w:instr=" NUMWORDS  \* MERGEFORMAT ">
      <w:r w:rsidR="006169FE" w:rsidRPr="006169FE">
        <w:rPr>
          <w:noProof/>
          <w:color w:val="333333"/>
          <w:sz w:val="20"/>
        </w:rPr>
        <w:t>998</w:t>
      </w:r>
    </w:fldSimple>
  </w:p>
  <w:p w14:paraId="3E89575A" w14:textId="77777777" w:rsidR="00444A06" w:rsidRPr="005D60EA" w:rsidRDefault="00444A06" w:rsidP="00B05649">
    <w:pPr>
      <w:pStyle w:val="Piedepgina"/>
      <w:tabs>
        <w:tab w:val="left" w:pos="3565"/>
      </w:tabs>
      <w:rPr>
        <w:rStyle w:val="Nmerodepgina"/>
        <w:color w:val="333333"/>
      </w:rPr>
    </w:pPr>
    <w:r w:rsidRPr="005D60EA">
      <w:rPr>
        <w:color w:val="333333"/>
        <w:sz w:val="20"/>
      </w:rPr>
      <w:tab/>
      <w:t>Pág.</w:t>
    </w:r>
    <w:r w:rsidR="001B0F9A" w:rsidRPr="005D60EA">
      <w:rPr>
        <w:rStyle w:val="Nmerodepgina"/>
        <w:color w:val="333333"/>
      </w:rPr>
      <w:fldChar w:fldCharType="begin"/>
    </w:r>
    <w:r w:rsidRPr="005D60EA">
      <w:rPr>
        <w:rStyle w:val="Nmerodepgina"/>
        <w:color w:val="333333"/>
      </w:rPr>
      <w:instrText xml:space="preserve"> PAGE </w:instrText>
    </w:r>
    <w:r w:rsidR="001B0F9A" w:rsidRPr="005D60EA">
      <w:rPr>
        <w:rStyle w:val="Nmerodepgina"/>
        <w:color w:val="333333"/>
      </w:rPr>
      <w:fldChar w:fldCharType="separate"/>
    </w:r>
    <w:r w:rsidR="00E00B9D">
      <w:rPr>
        <w:rStyle w:val="Nmerodepgina"/>
        <w:noProof/>
        <w:color w:val="333333"/>
      </w:rPr>
      <w:t>1</w:t>
    </w:r>
    <w:r w:rsidR="001B0F9A" w:rsidRPr="005D60EA">
      <w:rPr>
        <w:rStyle w:val="Nmerodepgina"/>
        <w:color w:val="333333"/>
      </w:rPr>
      <w:fldChar w:fldCharType="end"/>
    </w:r>
    <w:r w:rsidRPr="005D60EA">
      <w:rPr>
        <w:rStyle w:val="Nmerodepgina"/>
        <w:color w:val="333333"/>
      </w:rPr>
      <w:t>/</w:t>
    </w:r>
    <w:fldSimple w:instr=" NUMPAGES  \* MERGEFORMAT ">
      <w:r w:rsidR="00E00B9D" w:rsidRPr="00E00B9D">
        <w:rPr>
          <w:rStyle w:val="Nmerodepgina"/>
          <w:noProof/>
          <w:color w:val="333333"/>
        </w:rPr>
        <w:t>3</w:t>
      </w:r>
    </w:fldSimple>
  </w:p>
  <w:p w14:paraId="35E8E912" w14:textId="77777777" w:rsidR="00444A06" w:rsidRPr="005D60EA" w:rsidRDefault="00444A06">
    <w:pPr>
      <w:pStyle w:val="Piedepgina"/>
      <w:rPr>
        <w:color w:val="33333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36D8B" w14:textId="77777777" w:rsidR="00514396" w:rsidRDefault="00514396">
      <w:r>
        <w:separator/>
      </w:r>
    </w:p>
  </w:footnote>
  <w:footnote w:type="continuationSeparator" w:id="0">
    <w:p w14:paraId="3C263A6D" w14:textId="77777777" w:rsidR="00514396" w:rsidRDefault="005143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54CE9" w14:textId="77777777" w:rsidR="00444A06" w:rsidRDefault="00444A06" w:rsidP="0033168A">
    <w:pPr>
      <w:pStyle w:val="Encabezado"/>
      <w:ind w:left="-2410" w:firstLine="850"/>
      <w:jc w:val="center"/>
      <w:rPr>
        <w:i/>
        <w:sz w:val="18"/>
        <w:szCs w:val="18"/>
      </w:rPr>
    </w:pPr>
    <w:r>
      <w:rPr>
        <w:noProof/>
        <w:lang w:val="es-ES"/>
      </w:rPr>
      <w:drawing>
        <wp:inline distT="0" distB="0" distL="0" distR="0" wp14:anchorId="6BA8945C" wp14:editId="3D508DD9">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Pr>
        <w:i/>
        <w:sz w:val="18"/>
        <w:szCs w:val="18"/>
      </w:rPr>
      <w:br/>
    </w:r>
  </w:p>
  <w:p w14:paraId="00A479AA" w14:textId="77777777" w:rsidR="000D045D" w:rsidRDefault="000D045D" w:rsidP="000D045D">
    <w:pPr>
      <w:pStyle w:val="Normal1"/>
      <w:pBdr>
        <w:top w:val="nil"/>
        <w:left w:val="nil"/>
        <w:bottom w:val="nil"/>
        <w:right w:val="nil"/>
        <w:between w:val="nil"/>
      </w:pBdr>
      <w:tabs>
        <w:tab w:val="center" w:pos="4419"/>
        <w:tab w:val="right" w:pos="8838"/>
      </w:tabs>
      <w:jc w:val="center"/>
      <w:rPr>
        <w:color w:val="000000"/>
        <w:sz w:val="20"/>
        <w:szCs w:val="20"/>
      </w:rPr>
    </w:pPr>
  </w:p>
  <w:p w14:paraId="40DC1B44" w14:textId="77777777" w:rsidR="000D045D" w:rsidRDefault="000D045D" w:rsidP="000D045D">
    <w:pPr>
      <w:pStyle w:val="Normal1"/>
      <w:pBdr>
        <w:top w:val="nil"/>
        <w:left w:val="nil"/>
        <w:bottom w:val="nil"/>
        <w:right w:val="nil"/>
        <w:between w:val="nil"/>
      </w:pBdr>
      <w:tabs>
        <w:tab w:val="center" w:pos="4419"/>
        <w:tab w:val="right" w:pos="8838"/>
      </w:tabs>
      <w:jc w:val="center"/>
      <w:rPr>
        <w:color w:val="808080"/>
      </w:rPr>
    </w:pPr>
    <w:r>
      <w:rPr>
        <w:color w:val="000000"/>
        <w:sz w:val="20"/>
        <w:szCs w:val="20"/>
      </w:rPr>
      <w:t>"2022- Año del 40° Aniversario de la Guerra de Malvinas. En homenaje a los veteranos y caídos en la defensa de las Islas Malvinas y el Atlántico Sur”</w:t>
    </w:r>
  </w:p>
  <w:p w14:paraId="570ED57F" w14:textId="77777777" w:rsidR="00444A06" w:rsidRDefault="00444A06" w:rsidP="000D045D">
    <w:pPr>
      <w:pStyle w:val="Encabezado"/>
      <w:jc w:val="center"/>
      <w:rPr>
        <w:i/>
        <w:color w:val="000000"/>
        <w:shd w:val="clear" w:color="auto" w:fill="FFFFFF"/>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62B62"/>
    <w:rsid w:val="00001988"/>
    <w:rsid w:val="000031F8"/>
    <w:rsid w:val="00026430"/>
    <w:rsid w:val="00030DF5"/>
    <w:rsid w:val="0003615C"/>
    <w:rsid w:val="000376AB"/>
    <w:rsid w:val="00043882"/>
    <w:rsid w:val="00062864"/>
    <w:rsid w:val="00067370"/>
    <w:rsid w:val="000713D7"/>
    <w:rsid w:val="00071CFB"/>
    <w:rsid w:val="00076C70"/>
    <w:rsid w:val="00077DAC"/>
    <w:rsid w:val="00080837"/>
    <w:rsid w:val="00081FFF"/>
    <w:rsid w:val="00085D07"/>
    <w:rsid w:val="000B2290"/>
    <w:rsid w:val="000D045D"/>
    <w:rsid w:val="000D1497"/>
    <w:rsid w:val="000D2860"/>
    <w:rsid w:val="000D6C54"/>
    <w:rsid w:val="000E3949"/>
    <w:rsid w:val="000F74CB"/>
    <w:rsid w:val="000F7E30"/>
    <w:rsid w:val="00103C6B"/>
    <w:rsid w:val="00104335"/>
    <w:rsid w:val="00107C60"/>
    <w:rsid w:val="00116BFB"/>
    <w:rsid w:val="00127D10"/>
    <w:rsid w:val="00136787"/>
    <w:rsid w:val="00140F6A"/>
    <w:rsid w:val="00145948"/>
    <w:rsid w:val="0015163D"/>
    <w:rsid w:val="00154F4A"/>
    <w:rsid w:val="00155C7C"/>
    <w:rsid w:val="00160A2A"/>
    <w:rsid w:val="001614A7"/>
    <w:rsid w:val="0019414B"/>
    <w:rsid w:val="001B0CF3"/>
    <w:rsid w:val="001B0F9A"/>
    <w:rsid w:val="001B770D"/>
    <w:rsid w:val="001C18CC"/>
    <w:rsid w:val="001D480C"/>
    <w:rsid w:val="001E5394"/>
    <w:rsid w:val="001F1D3C"/>
    <w:rsid w:val="001F2924"/>
    <w:rsid w:val="001F3AFD"/>
    <w:rsid w:val="001F4C47"/>
    <w:rsid w:val="00205802"/>
    <w:rsid w:val="00205D93"/>
    <w:rsid w:val="00205DAD"/>
    <w:rsid w:val="00223436"/>
    <w:rsid w:val="00225365"/>
    <w:rsid w:val="002327DE"/>
    <w:rsid w:val="00243C24"/>
    <w:rsid w:val="00246DF0"/>
    <w:rsid w:val="0026220D"/>
    <w:rsid w:val="00265972"/>
    <w:rsid w:val="00271847"/>
    <w:rsid w:val="00275865"/>
    <w:rsid w:val="00276A7E"/>
    <w:rsid w:val="00296815"/>
    <w:rsid w:val="002971A4"/>
    <w:rsid w:val="002B47D0"/>
    <w:rsid w:val="002C768C"/>
    <w:rsid w:val="002D05E9"/>
    <w:rsid w:val="002D533A"/>
    <w:rsid w:val="002D72BA"/>
    <w:rsid w:val="002D778C"/>
    <w:rsid w:val="002E38C3"/>
    <w:rsid w:val="002F7961"/>
    <w:rsid w:val="00302300"/>
    <w:rsid w:val="00305DD1"/>
    <w:rsid w:val="003145ED"/>
    <w:rsid w:val="00315C77"/>
    <w:rsid w:val="00321E20"/>
    <w:rsid w:val="0033168A"/>
    <w:rsid w:val="00335CD9"/>
    <w:rsid w:val="00340F54"/>
    <w:rsid w:val="0035681D"/>
    <w:rsid w:val="00361F1C"/>
    <w:rsid w:val="00374C1A"/>
    <w:rsid w:val="00374C32"/>
    <w:rsid w:val="003830D9"/>
    <w:rsid w:val="00386BB6"/>
    <w:rsid w:val="003A0124"/>
    <w:rsid w:val="003A5C28"/>
    <w:rsid w:val="003A7311"/>
    <w:rsid w:val="003B471C"/>
    <w:rsid w:val="003D10AB"/>
    <w:rsid w:val="003D4000"/>
    <w:rsid w:val="003F1EFD"/>
    <w:rsid w:val="003F4249"/>
    <w:rsid w:val="00401C75"/>
    <w:rsid w:val="0040761B"/>
    <w:rsid w:val="00422C3F"/>
    <w:rsid w:val="004354AC"/>
    <w:rsid w:val="00444A06"/>
    <w:rsid w:val="00446E1A"/>
    <w:rsid w:val="00455887"/>
    <w:rsid w:val="00471746"/>
    <w:rsid w:val="004847CA"/>
    <w:rsid w:val="00486557"/>
    <w:rsid w:val="004914B7"/>
    <w:rsid w:val="004B47F8"/>
    <w:rsid w:val="004B7714"/>
    <w:rsid w:val="004D2D62"/>
    <w:rsid w:val="004D30D5"/>
    <w:rsid w:val="004D438B"/>
    <w:rsid w:val="004E235F"/>
    <w:rsid w:val="004F11FC"/>
    <w:rsid w:val="0051012E"/>
    <w:rsid w:val="005142E6"/>
    <w:rsid w:val="00514396"/>
    <w:rsid w:val="00522C71"/>
    <w:rsid w:val="00534552"/>
    <w:rsid w:val="00540D49"/>
    <w:rsid w:val="00540E5C"/>
    <w:rsid w:val="00550A79"/>
    <w:rsid w:val="00551DE0"/>
    <w:rsid w:val="00572968"/>
    <w:rsid w:val="0057409D"/>
    <w:rsid w:val="005769D4"/>
    <w:rsid w:val="00584777"/>
    <w:rsid w:val="005851C3"/>
    <w:rsid w:val="005867EF"/>
    <w:rsid w:val="00587242"/>
    <w:rsid w:val="005A1232"/>
    <w:rsid w:val="005A32ED"/>
    <w:rsid w:val="005A3AA1"/>
    <w:rsid w:val="005A4D27"/>
    <w:rsid w:val="005B0FAF"/>
    <w:rsid w:val="005B14CE"/>
    <w:rsid w:val="005B6538"/>
    <w:rsid w:val="005C37AB"/>
    <w:rsid w:val="005D60EA"/>
    <w:rsid w:val="005F35E2"/>
    <w:rsid w:val="00601A75"/>
    <w:rsid w:val="0060233E"/>
    <w:rsid w:val="00606D7C"/>
    <w:rsid w:val="006169FE"/>
    <w:rsid w:val="00616F70"/>
    <w:rsid w:val="00622DE5"/>
    <w:rsid w:val="00636BE0"/>
    <w:rsid w:val="0064363E"/>
    <w:rsid w:val="0065711B"/>
    <w:rsid w:val="00661B73"/>
    <w:rsid w:val="006811D6"/>
    <w:rsid w:val="00690392"/>
    <w:rsid w:val="00697F98"/>
    <w:rsid w:val="006A6925"/>
    <w:rsid w:val="006B1F9F"/>
    <w:rsid w:val="006B6E58"/>
    <w:rsid w:val="006B7593"/>
    <w:rsid w:val="006C326A"/>
    <w:rsid w:val="006C40E9"/>
    <w:rsid w:val="006D3303"/>
    <w:rsid w:val="006D5CB7"/>
    <w:rsid w:val="006E3675"/>
    <w:rsid w:val="00705135"/>
    <w:rsid w:val="00706B8E"/>
    <w:rsid w:val="00715AF3"/>
    <w:rsid w:val="00720C1E"/>
    <w:rsid w:val="00734F30"/>
    <w:rsid w:val="007410E7"/>
    <w:rsid w:val="007420D8"/>
    <w:rsid w:val="00744B4A"/>
    <w:rsid w:val="00771B54"/>
    <w:rsid w:val="007728C1"/>
    <w:rsid w:val="00777916"/>
    <w:rsid w:val="00780167"/>
    <w:rsid w:val="00795E19"/>
    <w:rsid w:val="007B0FD7"/>
    <w:rsid w:val="007B3715"/>
    <w:rsid w:val="007B6DE7"/>
    <w:rsid w:val="007C0373"/>
    <w:rsid w:val="007C0CF9"/>
    <w:rsid w:val="007C22C8"/>
    <w:rsid w:val="007D2459"/>
    <w:rsid w:val="007E2AB2"/>
    <w:rsid w:val="007E3534"/>
    <w:rsid w:val="007E36D1"/>
    <w:rsid w:val="007E3C84"/>
    <w:rsid w:val="007E6FDC"/>
    <w:rsid w:val="007F1509"/>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A140A"/>
    <w:rsid w:val="008B4536"/>
    <w:rsid w:val="008C4AC3"/>
    <w:rsid w:val="008D19D2"/>
    <w:rsid w:val="00906685"/>
    <w:rsid w:val="00907A5F"/>
    <w:rsid w:val="00910E0F"/>
    <w:rsid w:val="0091690E"/>
    <w:rsid w:val="00947238"/>
    <w:rsid w:val="00957449"/>
    <w:rsid w:val="0096111A"/>
    <w:rsid w:val="009624FC"/>
    <w:rsid w:val="009626FA"/>
    <w:rsid w:val="00962B62"/>
    <w:rsid w:val="0096461D"/>
    <w:rsid w:val="00967211"/>
    <w:rsid w:val="009953AF"/>
    <w:rsid w:val="00996E34"/>
    <w:rsid w:val="009A6E2B"/>
    <w:rsid w:val="009B4FAC"/>
    <w:rsid w:val="009C20D3"/>
    <w:rsid w:val="009E5835"/>
    <w:rsid w:val="009F07D0"/>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C31E3"/>
    <w:rsid w:val="00BC4E6A"/>
    <w:rsid w:val="00BD7111"/>
    <w:rsid w:val="00BF2B7B"/>
    <w:rsid w:val="00BF71C2"/>
    <w:rsid w:val="00C0422B"/>
    <w:rsid w:val="00C26F53"/>
    <w:rsid w:val="00C330CB"/>
    <w:rsid w:val="00C3675D"/>
    <w:rsid w:val="00C419C1"/>
    <w:rsid w:val="00C45A01"/>
    <w:rsid w:val="00C51E49"/>
    <w:rsid w:val="00C521F9"/>
    <w:rsid w:val="00C63351"/>
    <w:rsid w:val="00C71253"/>
    <w:rsid w:val="00C734F9"/>
    <w:rsid w:val="00C74758"/>
    <w:rsid w:val="00C86192"/>
    <w:rsid w:val="00C87365"/>
    <w:rsid w:val="00C93FF6"/>
    <w:rsid w:val="00CA0678"/>
    <w:rsid w:val="00CC20B0"/>
    <w:rsid w:val="00CC3AE5"/>
    <w:rsid w:val="00CD3069"/>
    <w:rsid w:val="00CE163F"/>
    <w:rsid w:val="00D11A69"/>
    <w:rsid w:val="00D21279"/>
    <w:rsid w:val="00D23C57"/>
    <w:rsid w:val="00D43AA2"/>
    <w:rsid w:val="00D518DB"/>
    <w:rsid w:val="00D55ECB"/>
    <w:rsid w:val="00D65FF6"/>
    <w:rsid w:val="00D67721"/>
    <w:rsid w:val="00D758CE"/>
    <w:rsid w:val="00D76A86"/>
    <w:rsid w:val="00D927D4"/>
    <w:rsid w:val="00DB63D8"/>
    <w:rsid w:val="00DD2795"/>
    <w:rsid w:val="00DD4DE2"/>
    <w:rsid w:val="00DD520D"/>
    <w:rsid w:val="00DD6DF0"/>
    <w:rsid w:val="00DF0164"/>
    <w:rsid w:val="00DF4416"/>
    <w:rsid w:val="00DF54AA"/>
    <w:rsid w:val="00E00B9D"/>
    <w:rsid w:val="00E038FF"/>
    <w:rsid w:val="00E06FB6"/>
    <w:rsid w:val="00E07D33"/>
    <w:rsid w:val="00E1275F"/>
    <w:rsid w:val="00E12909"/>
    <w:rsid w:val="00E12DDE"/>
    <w:rsid w:val="00E143B6"/>
    <w:rsid w:val="00E30CFF"/>
    <w:rsid w:val="00E374C4"/>
    <w:rsid w:val="00E50177"/>
    <w:rsid w:val="00E55186"/>
    <w:rsid w:val="00E615F1"/>
    <w:rsid w:val="00E63146"/>
    <w:rsid w:val="00E64A1D"/>
    <w:rsid w:val="00E74920"/>
    <w:rsid w:val="00E777D2"/>
    <w:rsid w:val="00E81EE5"/>
    <w:rsid w:val="00E91F21"/>
    <w:rsid w:val="00E92C71"/>
    <w:rsid w:val="00EB6956"/>
    <w:rsid w:val="00EF0D22"/>
    <w:rsid w:val="00F13C69"/>
    <w:rsid w:val="00F41DF6"/>
    <w:rsid w:val="00F52245"/>
    <w:rsid w:val="00F542C3"/>
    <w:rsid w:val="00F5569F"/>
    <w:rsid w:val="00F60308"/>
    <w:rsid w:val="00F640D0"/>
    <w:rsid w:val="00F75389"/>
    <w:rsid w:val="00F86241"/>
    <w:rsid w:val="00F903E8"/>
    <w:rsid w:val="00F91C87"/>
    <w:rsid w:val="00F9285C"/>
    <w:rsid w:val="00F95AC1"/>
    <w:rsid w:val="00FA0C8C"/>
    <w:rsid w:val="00FA26C2"/>
    <w:rsid w:val="00FB0DDA"/>
    <w:rsid w:val="00FC43A0"/>
    <w:rsid w:val="00FC44CB"/>
    <w:rsid w:val="00FD07F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DBDCEA"/>
  <w15:docId w15:val="{577AB411-CBA9-A849-84FE-C128EA258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758"/>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C74758"/>
    <w:pPr>
      <w:ind w:left="3686"/>
    </w:pPr>
  </w:style>
  <w:style w:type="paragraph" w:styleId="Encabezado">
    <w:name w:val="header"/>
    <w:basedOn w:val="Normal"/>
    <w:link w:val="EncabezadoCar"/>
    <w:uiPriority w:val="99"/>
    <w:rsid w:val="00C74758"/>
    <w:pPr>
      <w:tabs>
        <w:tab w:val="center" w:pos="4419"/>
        <w:tab w:val="right" w:pos="8838"/>
      </w:tabs>
    </w:pPr>
  </w:style>
  <w:style w:type="paragraph" w:styleId="Piedepgina">
    <w:name w:val="footer"/>
    <w:basedOn w:val="Normal"/>
    <w:rsid w:val="00C74758"/>
    <w:pPr>
      <w:tabs>
        <w:tab w:val="center" w:pos="4419"/>
        <w:tab w:val="right" w:pos="8838"/>
      </w:tabs>
    </w:pPr>
  </w:style>
  <w:style w:type="character" w:styleId="Nmerodepgina">
    <w:name w:val="page number"/>
    <w:basedOn w:val="Fuentedeprrafopredeter"/>
    <w:rsid w:val="00C74758"/>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962B62"/>
    <w:rPr>
      <w:rFonts w:ascii="Tahoma" w:hAnsi="Tahoma" w:cs="Tahoma"/>
      <w:sz w:val="16"/>
      <w:szCs w:val="16"/>
    </w:rPr>
  </w:style>
  <w:style w:type="character" w:customStyle="1" w:styleId="TextodegloboCar">
    <w:name w:val="Texto de globo Car"/>
    <w:basedOn w:val="Fuentedeprrafopredeter"/>
    <w:link w:val="Textodeglobo"/>
    <w:uiPriority w:val="99"/>
    <w:semiHidden/>
    <w:rsid w:val="00962B62"/>
    <w:rPr>
      <w:rFonts w:ascii="Tahoma" w:hAnsi="Tahoma" w:cs="Tahoma"/>
      <w:sz w:val="16"/>
      <w:szCs w:val="16"/>
      <w:lang w:val="es-ES_tradnl" w:eastAsia="es-ES"/>
    </w:rPr>
  </w:style>
  <w:style w:type="paragraph" w:styleId="Revisin">
    <w:name w:val="Revision"/>
    <w:hidden/>
    <w:uiPriority w:val="99"/>
    <w:semiHidden/>
    <w:rsid w:val="00D11A69"/>
    <w:rPr>
      <w:sz w:val="24"/>
      <w:lang w:val="es-ES_tradnl" w:eastAsia="es-ES"/>
    </w:rPr>
  </w:style>
  <w:style w:type="paragraph" w:styleId="Textonotapie">
    <w:name w:val="footnote text"/>
    <w:basedOn w:val="Normal"/>
    <w:link w:val="TextonotapieCar"/>
    <w:uiPriority w:val="99"/>
    <w:semiHidden/>
    <w:unhideWhenUsed/>
    <w:rsid w:val="00D65FF6"/>
    <w:rPr>
      <w:sz w:val="20"/>
    </w:rPr>
  </w:style>
  <w:style w:type="character" w:customStyle="1" w:styleId="TextonotapieCar">
    <w:name w:val="Texto nota pie Car"/>
    <w:basedOn w:val="Fuentedeprrafopredeter"/>
    <w:link w:val="Textonotapie"/>
    <w:uiPriority w:val="99"/>
    <w:semiHidden/>
    <w:rsid w:val="00D65FF6"/>
    <w:rPr>
      <w:lang w:val="es-ES_tradnl" w:eastAsia="es-ES"/>
    </w:rPr>
  </w:style>
  <w:style w:type="character" w:styleId="Refdenotaalpie">
    <w:name w:val="footnote reference"/>
    <w:basedOn w:val="Fuentedeprrafopredeter"/>
    <w:uiPriority w:val="99"/>
    <w:semiHidden/>
    <w:unhideWhenUsed/>
    <w:rsid w:val="00D65FF6"/>
    <w:rPr>
      <w:vertAlign w:val="superscript"/>
    </w:rPr>
  </w:style>
  <w:style w:type="character" w:styleId="Refdecomentario">
    <w:name w:val="annotation reference"/>
    <w:basedOn w:val="Fuentedeprrafopredeter"/>
    <w:uiPriority w:val="99"/>
    <w:semiHidden/>
    <w:unhideWhenUsed/>
    <w:rsid w:val="00E06FB6"/>
    <w:rPr>
      <w:sz w:val="16"/>
      <w:szCs w:val="16"/>
    </w:rPr>
  </w:style>
  <w:style w:type="paragraph" w:styleId="Textocomentario">
    <w:name w:val="annotation text"/>
    <w:basedOn w:val="Normal"/>
    <w:link w:val="TextocomentarioCar"/>
    <w:uiPriority w:val="99"/>
    <w:semiHidden/>
    <w:unhideWhenUsed/>
    <w:rsid w:val="00E06FB6"/>
    <w:rPr>
      <w:sz w:val="20"/>
    </w:rPr>
  </w:style>
  <w:style w:type="character" w:customStyle="1" w:styleId="TextocomentarioCar">
    <w:name w:val="Texto comentario Car"/>
    <w:basedOn w:val="Fuentedeprrafopredeter"/>
    <w:link w:val="Textocomentario"/>
    <w:uiPriority w:val="99"/>
    <w:semiHidden/>
    <w:rsid w:val="00E06FB6"/>
    <w:rPr>
      <w:lang w:val="es-ES_tradnl" w:eastAsia="es-ES"/>
    </w:rPr>
  </w:style>
  <w:style w:type="paragraph" w:styleId="Asuntodelcomentario">
    <w:name w:val="annotation subject"/>
    <w:basedOn w:val="Textocomentario"/>
    <w:next w:val="Textocomentario"/>
    <w:link w:val="AsuntodelcomentarioCar"/>
    <w:uiPriority w:val="99"/>
    <w:semiHidden/>
    <w:unhideWhenUsed/>
    <w:rsid w:val="00E06FB6"/>
    <w:rPr>
      <w:b/>
      <w:bCs/>
    </w:rPr>
  </w:style>
  <w:style w:type="character" w:customStyle="1" w:styleId="AsuntodelcomentarioCar">
    <w:name w:val="Asunto del comentario Car"/>
    <w:basedOn w:val="TextocomentarioCar"/>
    <w:link w:val="Asuntodelcomentario"/>
    <w:uiPriority w:val="99"/>
    <w:semiHidden/>
    <w:rsid w:val="00E06FB6"/>
    <w:rPr>
      <w:b/>
      <w:bCs/>
      <w:lang w:val="es-ES_tradnl" w:eastAsia="es-ES"/>
    </w:rPr>
  </w:style>
  <w:style w:type="paragraph" w:customStyle="1" w:styleId="Normal1">
    <w:name w:val="Normal1"/>
    <w:rsid w:val="000D045D"/>
    <w:pPr>
      <w:jc w:val="both"/>
    </w:pPr>
    <w:rPr>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040679">
      <w:bodyDiv w:val="1"/>
      <w:marLeft w:val="0"/>
      <w:marRight w:val="0"/>
      <w:marTop w:val="0"/>
      <w:marBottom w:val="0"/>
      <w:divBdr>
        <w:top w:val="none" w:sz="0" w:space="0" w:color="auto"/>
        <w:left w:val="none" w:sz="0" w:space="0" w:color="auto"/>
        <w:bottom w:val="none" w:sz="0" w:space="0" w:color="auto"/>
        <w:right w:val="none" w:sz="0" w:space="0" w:color="auto"/>
      </w:divBdr>
    </w:div>
    <w:div w:id="1049454605">
      <w:bodyDiv w:val="1"/>
      <w:marLeft w:val="0"/>
      <w:marRight w:val="0"/>
      <w:marTop w:val="0"/>
      <w:marBottom w:val="0"/>
      <w:divBdr>
        <w:top w:val="none" w:sz="0" w:space="0" w:color="auto"/>
        <w:left w:val="none" w:sz="0" w:space="0" w:color="auto"/>
        <w:bottom w:val="none" w:sz="0" w:space="0" w:color="auto"/>
        <w:right w:val="none" w:sz="0" w:space="0" w:color="auto"/>
      </w:divBdr>
    </w:div>
    <w:div w:id="181502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acevedo\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6DDA48-549B-4D8A-9A46-9A2B40A66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C:\Users\emacevedo\AppData\Roaming\Microsoft\Plantillas\Legislatura\Legislar.DOT</Template>
  <TotalTime>4</TotalTime>
  <Pages>3</Pages>
  <Words>998</Words>
  <Characters>5435</Characters>
  <Application>Microsoft Office Word</Application>
  <DocSecurity>0</DocSecurity>
  <Lines>147</Lines>
  <Paragraphs>20</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emacevedo</dc:creator>
  <cp:lastModifiedBy>Microsoft Office User</cp:lastModifiedBy>
  <cp:revision>7</cp:revision>
  <cp:lastPrinted>2022-05-03T13:10:00Z</cp:lastPrinted>
  <dcterms:created xsi:type="dcterms:W3CDTF">2022-03-01T22:09:00Z</dcterms:created>
  <dcterms:modified xsi:type="dcterms:W3CDTF">2022-05-03T13:11:00Z</dcterms:modified>
</cp:coreProperties>
</file>