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89970" w14:textId="77777777" w:rsidR="00405D2F" w:rsidRDefault="00405D2F" w:rsidP="00405D2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14:paraId="27C31B0E" w14:textId="77777777" w:rsidR="00405D2F" w:rsidRDefault="00405D2F" w:rsidP="00405D2F">
      <w:pPr>
        <w:jc w:val="both"/>
        <w:rPr>
          <w:rFonts w:ascii="Times New Roman" w:eastAsia="Times New Roman" w:hAnsi="Times New Roman" w:cs="Times New Roman"/>
          <w:sz w:val="24"/>
          <w:szCs w:val="24"/>
        </w:rPr>
      </w:pPr>
    </w:p>
    <w:p w14:paraId="02F1B8DD" w14:textId="77777777" w:rsidR="00405D2F" w:rsidRDefault="00405D2F" w:rsidP="00405D2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Legislatura de la Ciudad Autónoma de Buenos Aires adhiere a la conmemoración del “Día del Trabajador Previsional Argentino”, a celebrarse el 27 de noviembre del corriente año. </w:t>
      </w:r>
    </w:p>
    <w:p w14:paraId="0E4DADEC" w14:textId="77777777" w:rsidR="00405D2F" w:rsidRDefault="00405D2F" w:rsidP="00405D2F">
      <w:pPr>
        <w:jc w:val="both"/>
        <w:rPr>
          <w:rFonts w:ascii="Times New Roman" w:eastAsia="Times New Roman" w:hAnsi="Times New Roman" w:cs="Times New Roman"/>
          <w:sz w:val="24"/>
          <w:szCs w:val="24"/>
        </w:rPr>
      </w:pPr>
    </w:p>
    <w:p w14:paraId="5515F856" w14:textId="77777777" w:rsidR="00405D2F" w:rsidRDefault="00405D2F" w:rsidP="00405D2F">
      <w:pPr>
        <w:jc w:val="both"/>
        <w:rPr>
          <w:rFonts w:ascii="Times New Roman" w:eastAsia="Times New Roman" w:hAnsi="Times New Roman" w:cs="Times New Roman"/>
          <w:sz w:val="24"/>
          <w:szCs w:val="24"/>
        </w:rPr>
      </w:pPr>
    </w:p>
    <w:p w14:paraId="46E4D9EA" w14:textId="77777777" w:rsidR="00405D2F" w:rsidRDefault="00405D2F" w:rsidP="00405D2F">
      <w:pPr>
        <w:jc w:val="both"/>
        <w:rPr>
          <w:rFonts w:ascii="Times New Roman" w:eastAsia="Times New Roman" w:hAnsi="Times New Roman" w:cs="Times New Roman"/>
          <w:sz w:val="24"/>
          <w:szCs w:val="24"/>
        </w:rPr>
      </w:pPr>
    </w:p>
    <w:p w14:paraId="5488BFEC" w14:textId="77777777" w:rsidR="00405D2F" w:rsidRDefault="00405D2F" w:rsidP="00405D2F">
      <w:pPr>
        <w:jc w:val="both"/>
        <w:rPr>
          <w:rFonts w:ascii="Times New Roman" w:eastAsia="Times New Roman" w:hAnsi="Times New Roman" w:cs="Times New Roman"/>
          <w:sz w:val="24"/>
          <w:szCs w:val="24"/>
        </w:rPr>
      </w:pPr>
    </w:p>
    <w:p w14:paraId="1D379961" w14:textId="77777777" w:rsidR="00405D2F" w:rsidRDefault="00405D2F" w:rsidP="00405D2F">
      <w:pPr>
        <w:jc w:val="both"/>
        <w:rPr>
          <w:rFonts w:ascii="Times New Roman" w:eastAsia="Times New Roman" w:hAnsi="Times New Roman" w:cs="Times New Roman"/>
          <w:sz w:val="24"/>
          <w:szCs w:val="24"/>
        </w:rPr>
      </w:pPr>
    </w:p>
    <w:p w14:paraId="7903CD24" w14:textId="77777777" w:rsidR="00405D2F" w:rsidRDefault="00405D2F" w:rsidP="00405D2F">
      <w:pPr>
        <w:jc w:val="both"/>
        <w:rPr>
          <w:rFonts w:ascii="Times New Roman" w:eastAsia="Times New Roman" w:hAnsi="Times New Roman" w:cs="Times New Roman"/>
          <w:sz w:val="24"/>
          <w:szCs w:val="24"/>
        </w:rPr>
      </w:pPr>
    </w:p>
    <w:p w14:paraId="21E1D30B" w14:textId="77777777" w:rsidR="00405D2F" w:rsidRDefault="00405D2F" w:rsidP="00405D2F">
      <w:pPr>
        <w:jc w:val="both"/>
        <w:rPr>
          <w:rFonts w:ascii="Times New Roman" w:eastAsia="Times New Roman" w:hAnsi="Times New Roman" w:cs="Times New Roman"/>
          <w:sz w:val="24"/>
          <w:szCs w:val="24"/>
        </w:rPr>
      </w:pPr>
    </w:p>
    <w:p w14:paraId="6F6A154D" w14:textId="77777777" w:rsidR="00405D2F" w:rsidRDefault="00405D2F" w:rsidP="00405D2F">
      <w:pPr>
        <w:jc w:val="both"/>
        <w:rPr>
          <w:rFonts w:ascii="Times New Roman" w:eastAsia="Times New Roman" w:hAnsi="Times New Roman" w:cs="Times New Roman"/>
          <w:sz w:val="24"/>
          <w:szCs w:val="24"/>
        </w:rPr>
      </w:pPr>
    </w:p>
    <w:p w14:paraId="53C00FAD" w14:textId="77777777" w:rsidR="00405D2F" w:rsidRDefault="00405D2F" w:rsidP="00405D2F">
      <w:pPr>
        <w:jc w:val="both"/>
        <w:rPr>
          <w:rFonts w:ascii="Times New Roman" w:eastAsia="Times New Roman" w:hAnsi="Times New Roman" w:cs="Times New Roman"/>
          <w:sz w:val="24"/>
          <w:szCs w:val="24"/>
        </w:rPr>
      </w:pPr>
    </w:p>
    <w:p w14:paraId="0A263E7C" w14:textId="77777777" w:rsidR="00405D2F" w:rsidRDefault="00405D2F" w:rsidP="00405D2F">
      <w:pPr>
        <w:jc w:val="both"/>
        <w:rPr>
          <w:rFonts w:ascii="Times New Roman" w:eastAsia="Times New Roman" w:hAnsi="Times New Roman" w:cs="Times New Roman"/>
          <w:sz w:val="24"/>
          <w:szCs w:val="24"/>
        </w:rPr>
      </w:pPr>
    </w:p>
    <w:p w14:paraId="7837DE54" w14:textId="77777777" w:rsidR="00405D2F" w:rsidRDefault="00405D2F" w:rsidP="00405D2F">
      <w:pPr>
        <w:jc w:val="both"/>
        <w:rPr>
          <w:rFonts w:ascii="Times New Roman" w:eastAsia="Times New Roman" w:hAnsi="Times New Roman" w:cs="Times New Roman"/>
          <w:sz w:val="24"/>
          <w:szCs w:val="24"/>
        </w:rPr>
      </w:pPr>
    </w:p>
    <w:p w14:paraId="12594111" w14:textId="77777777" w:rsidR="00405D2F" w:rsidRDefault="00405D2F" w:rsidP="00405D2F">
      <w:pPr>
        <w:jc w:val="both"/>
        <w:rPr>
          <w:rFonts w:ascii="Times New Roman" w:eastAsia="Times New Roman" w:hAnsi="Times New Roman" w:cs="Times New Roman"/>
          <w:sz w:val="24"/>
          <w:szCs w:val="24"/>
        </w:rPr>
      </w:pPr>
    </w:p>
    <w:p w14:paraId="0521E918" w14:textId="77777777" w:rsidR="00405D2F" w:rsidRDefault="00405D2F" w:rsidP="00405D2F">
      <w:pPr>
        <w:jc w:val="both"/>
        <w:rPr>
          <w:rFonts w:ascii="Times New Roman" w:eastAsia="Times New Roman" w:hAnsi="Times New Roman" w:cs="Times New Roman"/>
          <w:sz w:val="24"/>
          <w:szCs w:val="24"/>
        </w:rPr>
      </w:pPr>
    </w:p>
    <w:p w14:paraId="00F7EEE0" w14:textId="77777777" w:rsidR="00405D2F" w:rsidRDefault="00405D2F" w:rsidP="00405D2F">
      <w:pPr>
        <w:jc w:val="both"/>
        <w:rPr>
          <w:rFonts w:ascii="Times New Roman" w:eastAsia="Times New Roman" w:hAnsi="Times New Roman" w:cs="Times New Roman"/>
          <w:sz w:val="24"/>
          <w:szCs w:val="24"/>
        </w:rPr>
      </w:pPr>
    </w:p>
    <w:p w14:paraId="4293C0D8" w14:textId="77777777" w:rsidR="00405D2F" w:rsidRDefault="00405D2F" w:rsidP="00405D2F">
      <w:pPr>
        <w:jc w:val="both"/>
        <w:rPr>
          <w:rFonts w:ascii="Times New Roman" w:eastAsia="Times New Roman" w:hAnsi="Times New Roman" w:cs="Times New Roman"/>
          <w:sz w:val="24"/>
          <w:szCs w:val="24"/>
        </w:rPr>
      </w:pPr>
    </w:p>
    <w:p w14:paraId="395A0486" w14:textId="77777777" w:rsidR="00405D2F" w:rsidRDefault="00405D2F" w:rsidP="00405D2F">
      <w:pPr>
        <w:jc w:val="both"/>
        <w:rPr>
          <w:rFonts w:ascii="Times New Roman" w:eastAsia="Times New Roman" w:hAnsi="Times New Roman" w:cs="Times New Roman"/>
          <w:sz w:val="24"/>
          <w:szCs w:val="24"/>
        </w:rPr>
      </w:pPr>
    </w:p>
    <w:p w14:paraId="4D6C56C1" w14:textId="77777777" w:rsidR="00405D2F" w:rsidRDefault="00405D2F" w:rsidP="00405D2F">
      <w:pPr>
        <w:jc w:val="both"/>
        <w:rPr>
          <w:rFonts w:ascii="Times New Roman" w:eastAsia="Times New Roman" w:hAnsi="Times New Roman" w:cs="Times New Roman"/>
          <w:sz w:val="24"/>
          <w:szCs w:val="24"/>
        </w:rPr>
      </w:pPr>
    </w:p>
    <w:p w14:paraId="50490E4B" w14:textId="77777777" w:rsidR="00405D2F" w:rsidRDefault="00405D2F" w:rsidP="00405D2F">
      <w:pPr>
        <w:jc w:val="both"/>
        <w:rPr>
          <w:rFonts w:ascii="Times New Roman" w:eastAsia="Times New Roman" w:hAnsi="Times New Roman" w:cs="Times New Roman"/>
          <w:sz w:val="24"/>
          <w:szCs w:val="24"/>
        </w:rPr>
      </w:pPr>
    </w:p>
    <w:p w14:paraId="1DB62778" w14:textId="77777777" w:rsidR="00405D2F" w:rsidRDefault="00405D2F" w:rsidP="00405D2F">
      <w:pPr>
        <w:jc w:val="both"/>
        <w:rPr>
          <w:rFonts w:ascii="Times New Roman" w:eastAsia="Times New Roman" w:hAnsi="Times New Roman" w:cs="Times New Roman"/>
          <w:sz w:val="24"/>
          <w:szCs w:val="24"/>
        </w:rPr>
      </w:pPr>
    </w:p>
    <w:p w14:paraId="7014E05C" w14:textId="77777777" w:rsidR="00405D2F" w:rsidRDefault="00405D2F" w:rsidP="00405D2F">
      <w:pPr>
        <w:jc w:val="both"/>
        <w:rPr>
          <w:rFonts w:ascii="Times New Roman" w:eastAsia="Times New Roman" w:hAnsi="Times New Roman" w:cs="Times New Roman"/>
          <w:sz w:val="24"/>
          <w:szCs w:val="24"/>
        </w:rPr>
      </w:pPr>
    </w:p>
    <w:p w14:paraId="6BF02B58" w14:textId="77777777" w:rsidR="00405D2F" w:rsidRDefault="00405D2F" w:rsidP="00405D2F">
      <w:pPr>
        <w:jc w:val="both"/>
        <w:rPr>
          <w:rFonts w:ascii="Times New Roman" w:eastAsia="Times New Roman" w:hAnsi="Times New Roman" w:cs="Times New Roman"/>
          <w:sz w:val="24"/>
          <w:szCs w:val="24"/>
        </w:rPr>
      </w:pPr>
    </w:p>
    <w:p w14:paraId="77BBCDF8" w14:textId="77777777" w:rsidR="00405D2F" w:rsidRDefault="00405D2F" w:rsidP="00405D2F">
      <w:pPr>
        <w:jc w:val="both"/>
        <w:rPr>
          <w:rFonts w:ascii="Times New Roman" w:eastAsia="Times New Roman" w:hAnsi="Times New Roman" w:cs="Times New Roman"/>
          <w:sz w:val="24"/>
          <w:szCs w:val="24"/>
        </w:rPr>
      </w:pPr>
    </w:p>
    <w:p w14:paraId="7AD99ECC" w14:textId="77777777" w:rsidR="00405D2F" w:rsidRDefault="00405D2F" w:rsidP="00405D2F">
      <w:pPr>
        <w:jc w:val="both"/>
        <w:rPr>
          <w:rFonts w:ascii="Times New Roman" w:eastAsia="Times New Roman" w:hAnsi="Times New Roman" w:cs="Times New Roman"/>
          <w:sz w:val="24"/>
          <w:szCs w:val="24"/>
        </w:rPr>
      </w:pPr>
    </w:p>
    <w:p w14:paraId="09ADF41F" w14:textId="77777777" w:rsidR="00405D2F" w:rsidRDefault="00405D2F" w:rsidP="00405D2F">
      <w:pPr>
        <w:jc w:val="both"/>
        <w:rPr>
          <w:rFonts w:ascii="Times New Roman" w:eastAsia="Times New Roman" w:hAnsi="Times New Roman" w:cs="Times New Roman"/>
          <w:sz w:val="24"/>
          <w:szCs w:val="24"/>
        </w:rPr>
      </w:pPr>
    </w:p>
    <w:p w14:paraId="717AEE0C" w14:textId="77777777" w:rsidR="00405D2F" w:rsidRDefault="00405D2F" w:rsidP="00405D2F">
      <w:pPr>
        <w:jc w:val="both"/>
        <w:rPr>
          <w:rFonts w:ascii="Times New Roman" w:eastAsia="Times New Roman" w:hAnsi="Times New Roman" w:cs="Times New Roman"/>
          <w:sz w:val="24"/>
          <w:szCs w:val="24"/>
        </w:rPr>
      </w:pPr>
    </w:p>
    <w:p w14:paraId="140B49AF" w14:textId="77777777" w:rsidR="00405D2F" w:rsidRDefault="00405D2F" w:rsidP="00405D2F">
      <w:pPr>
        <w:jc w:val="both"/>
        <w:rPr>
          <w:rFonts w:ascii="Times New Roman" w:eastAsia="Times New Roman" w:hAnsi="Times New Roman" w:cs="Times New Roman"/>
          <w:sz w:val="24"/>
          <w:szCs w:val="24"/>
        </w:rPr>
      </w:pPr>
    </w:p>
    <w:p w14:paraId="101673DA" w14:textId="77777777" w:rsidR="00405D2F" w:rsidRDefault="00405D2F" w:rsidP="00405D2F">
      <w:pPr>
        <w:jc w:val="both"/>
        <w:rPr>
          <w:rFonts w:ascii="Times New Roman" w:eastAsia="Times New Roman" w:hAnsi="Times New Roman" w:cs="Times New Roman"/>
          <w:sz w:val="24"/>
          <w:szCs w:val="24"/>
        </w:rPr>
      </w:pPr>
    </w:p>
    <w:p w14:paraId="48672B4A" w14:textId="77777777" w:rsidR="00405D2F" w:rsidRDefault="00405D2F" w:rsidP="00405D2F">
      <w:pPr>
        <w:jc w:val="both"/>
        <w:rPr>
          <w:rFonts w:ascii="Times New Roman" w:eastAsia="Times New Roman" w:hAnsi="Times New Roman" w:cs="Times New Roman"/>
          <w:sz w:val="24"/>
          <w:szCs w:val="24"/>
        </w:rPr>
      </w:pPr>
    </w:p>
    <w:p w14:paraId="38F49F75" w14:textId="77777777" w:rsidR="00405D2F" w:rsidRDefault="00405D2F" w:rsidP="00405D2F">
      <w:pPr>
        <w:jc w:val="both"/>
        <w:rPr>
          <w:rFonts w:ascii="Times New Roman" w:eastAsia="Times New Roman" w:hAnsi="Times New Roman" w:cs="Times New Roman"/>
          <w:sz w:val="24"/>
          <w:szCs w:val="24"/>
        </w:rPr>
      </w:pPr>
    </w:p>
    <w:p w14:paraId="1B9622B9" w14:textId="77777777" w:rsidR="00405D2F" w:rsidRDefault="00405D2F" w:rsidP="00405D2F">
      <w:pPr>
        <w:jc w:val="both"/>
        <w:rPr>
          <w:rFonts w:ascii="Times New Roman" w:eastAsia="Times New Roman" w:hAnsi="Times New Roman" w:cs="Times New Roman"/>
          <w:sz w:val="24"/>
          <w:szCs w:val="24"/>
        </w:rPr>
      </w:pPr>
    </w:p>
    <w:p w14:paraId="69BED72A" w14:textId="77777777" w:rsidR="00405D2F" w:rsidRDefault="00405D2F" w:rsidP="00405D2F">
      <w:pPr>
        <w:jc w:val="both"/>
        <w:rPr>
          <w:rFonts w:ascii="Times New Roman" w:eastAsia="Times New Roman" w:hAnsi="Times New Roman" w:cs="Times New Roman"/>
          <w:sz w:val="24"/>
          <w:szCs w:val="24"/>
        </w:rPr>
      </w:pPr>
    </w:p>
    <w:p w14:paraId="59515CCB" w14:textId="77777777" w:rsidR="00405D2F" w:rsidRDefault="00405D2F" w:rsidP="00405D2F">
      <w:pPr>
        <w:jc w:val="both"/>
        <w:rPr>
          <w:rFonts w:ascii="Times New Roman" w:eastAsia="Times New Roman" w:hAnsi="Times New Roman" w:cs="Times New Roman"/>
          <w:sz w:val="24"/>
          <w:szCs w:val="24"/>
        </w:rPr>
      </w:pPr>
    </w:p>
    <w:p w14:paraId="2161BF39" w14:textId="77777777" w:rsidR="00405D2F" w:rsidRDefault="00405D2F" w:rsidP="00405D2F">
      <w:pPr>
        <w:jc w:val="both"/>
        <w:rPr>
          <w:rFonts w:ascii="Times New Roman" w:eastAsia="Times New Roman" w:hAnsi="Times New Roman" w:cs="Times New Roman"/>
          <w:sz w:val="24"/>
          <w:szCs w:val="24"/>
        </w:rPr>
      </w:pPr>
    </w:p>
    <w:p w14:paraId="3DF1C1A1" w14:textId="77777777" w:rsidR="00405D2F" w:rsidRDefault="00405D2F" w:rsidP="00405D2F">
      <w:pPr>
        <w:jc w:val="both"/>
        <w:rPr>
          <w:rFonts w:ascii="Times New Roman" w:eastAsia="Times New Roman" w:hAnsi="Times New Roman" w:cs="Times New Roman"/>
          <w:sz w:val="24"/>
          <w:szCs w:val="24"/>
        </w:rPr>
      </w:pPr>
    </w:p>
    <w:p w14:paraId="7E9E01BF" w14:textId="77777777" w:rsidR="00405D2F" w:rsidRDefault="00405D2F" w:rsidP="00405D2F">
      <w:pPr>
        <w:jc w:val="both"/>
        <w:rPr>
          <w:rFonts w:ascii="Times New Roman" w:eastAsia="Times New Roman" w:hAnsi="Times New Roman" w:cs="Times New Roman"/>
          <w:sz w:val="24"/>
          <w:szCs w:val="24"/>
        </w:rPr>
      </w:pPr>
    </w:p>
    <w:p w14:paraId="0EB5E870" w14:textId="77777777" w:rsidR="00405D2F" w:rsidRDefault="00405D2F" w:rsidP="00405D2F">
      <w:pPr>
        <w:jc w:val="both"/>
        <w:rPr>
          <w:rFonts w:ascii="Times New Roman" w:eastAsia="Times New Roman" w:hAnsi="Times New Roman" w:cs="Times New Roman"/>
          <w:sz w:val="24"/>
          <w:szCs w:val="24"/>
        </w:rPr>
      </w:pPr>
    </w:p>
    <w:p w14:paraId="73A2C177" w14:textId="77777777" w:rsidR="00405D2F" w:rsidRDefault="00405D2F" w:rsidP="00405D2F">
      <w:pPr>
        <w:jc w:val="both"/>
        <w:rPr>
          <w:rFonts w:ascii="Times New Roman" w:eastAsia="Times New Roman" w:hAnsi="Times New Roman" w:cs="Times New Roman"/>
          <w:sz w:val="24"/>
          <w:szCs w:val="24"/>
        </w:rPr>
      </w:pPr>
    </w:p>
    <w:p w14:paraId="45E4D596" w14:textId="77777777" w:rsidR="00405D2F" w:rsidRDefault="00405D2F" w:rsidP="00405D2F">
      <w:pPr>
        <w:jc w:val="both"/>
        <w:rPr>
          <w:rFonts w:ascii="Times New Roman" w:eastAsia="Times New Roman" w:hAnsi="Times New Roman" w:cs="Times New Roman"/>
          <w:sz w:val="24"/>
          <w:szCs w:val="24"/>
        </w:rPr>
      </w:pPr>
    </w:p>
    <w:p w14:paraId="76E2AFEF" w14:textId="77777777" w:rsidR="00405D2F" w:rsidRDefault="00405D2F" w:rsidP="00405D2F">
      <w:pPr>
        <w:jc w:val="both"/>
        <w:rPr>
          <w:rFonts w:ascii="Times New Roman" w:eastAsia="Times New Roman" w:hAnsi="Times New Roman" w:cs="Times New Roman"/>
          <w:sz w:val="24"/>
          <w:szCs w:val="24"/>
        </w:rPr>
      </w:pPr>
    </w:p>
    <w:p w14:paraId="718458DC" w14:textId="77777777" w:rsidR="00405D2F" w:rsidRDefault="00405D2F" w:rsidP="00405D2F">
      <w:pPr>
        <w:jc w:val="both"/>
        <w:rPr>
          <w:rFonts w:ascii="Times New Roman" w:eastAsia="Times New Roman" w:hAnsi="Times New Roman" w:cs="Times New Roman"/>
          <w:sz w:val="24"/>
          <w:szCs w:val="24"/>
        </w:rPr>
      </w:pPr>
    </w:p>
    <w:p w14:paraId="0EB495BB" w14:textId="77777777" w:rsidR="00405D2F" w:rsidRDefault="00405D2F">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D51E5A1" w14:textId="24709944" w:rsidR="00405D2F" w:rsidRDefault="00405D2F" w:rsidP="00405D2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14:paraId="49E35F7A" w14:textId="77777777" w:rsidR="00405D2F" w:rsidRDefault="00405D2F" w:rsidP="00405D2F">
      <w:pPr>
        <w:jc w:val="both"/>
        <w:rPr>
          <w:rFonts w:ascii="Times New Roman" w:eastAsia="Times New Roman" w:hAnsi="Times New Roman" w:cs="Times New Roman"/>
          <w:sz w:val="24"/>
          <w:szCs w:val="24"/>
        </w:rPr>
      </w:pPr>
    </w:p>
    <w:p w14:paraId="32D2AD41" w14:textId="77777777" w:rsidR="00405D2F" w:rsidRDefault="00405D2F" w:rsidP="00405D2F">
      <w:pPr>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Señor </w:t>
      </w:r>
      <w:proofErr w:type="gramStart"/>
      <w:r>
        <w:rPr>
          <w:rFonts w:ascii="Times New Roman" w:eastAsia="Times New Roman" w:hAnsi="Times New Roman" w:cs="Times New Roman"/>
          <w:sz w:val="24"/>
          <w:szCs w:val="24"/>
          <w:highlight w:val="white"/>
        </w:rPr>
        <w:t>Presidente</w:t>
      </w:r>
      <w:proofErr w:type="gramEnd"/>
      <w:r>
        <w:rPr>
          <w:rFonts w:ascii="Times New Roman" w:eastAsia="Times New Roman" w:hAnsi="Times New Roman" w:cs="Times New Roman"/>
          <w:sz w:val="24"/>
          <w:szCs w:val="24"/>
          <w:highlight w:val="white"/>
        </w:rPr>
        <w:t xml:space="preserve">: </w:t>
      </w:r>
    </w:p>
    <w:p w14:paraId="574D5999" w14:textId="77777777" w:rsidR="00405D2F" w:rsidRDefault="00405D2F" w:rsidP="00405D2F">
      <w:pPr>
        <w:jc w:val="both"/>
        <w:rPr>
          <w:rFonts w:ascii="Times New Roman" w:eastAsia="Times New Roman" w:hAnsi="Times New Roman" w:cs="Times New Roman"/>
          <w:sz w:val="24"/>
          <w:szCs w:val="24"/>
        </w:rPr>
      </w:pPr>
    </w:p>
    <w:p w14:paraId="4D732B42" w14:textId="77777777" w:rsidR="00405D2F" w:rsidRDefault="00405D2F" w:rsidP="00405D2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Ley 26.533, sancionada por el Congreso Nacional el 28 de octubre de 2009, estableció el 27 de noviembre de cada año como “Día Del Trabajador Previsional Argentino”, quedando dicha fecha equiparada a un día feriado para todos los trabajadores de la Secretaría de Seguridad Social, dependiente del Ministerio de Trabajo, Empleo y Seguridad Social de la Nación y los de la Administración Nacional de la Seguridad Social (</w:t>
      </w:r>
      <w:proofErr w:type="spellStart"/>
      <w:r>
        <w:rPr>
          <w:rFonts w:ascii="Times New Roman" w:eastAsia="Times New Roman" w:hAnsi="Times New Roman" w:cs="Times New Roman"/>
          <w:sz w:val="24"/>
          <w:szCs w:val="24"/>
        </w:rPr>
        <w:t>ANSeS</w:t>
      </w:r>
      <w:proofErr w:type="spellEnd"/>
      <w:r>
        <w:rPr>
          <w:rFonts w:ascii="Times New Roman" w:eastAsia="Times New Roman" w:hAnsi="Times New Roman" w:cs="Times New Roman"/>
          <w:sz w:val="24"/>
          <w:szCs w:val="24"/>
        </w:rPr>
        <w:t>) u organismos públicos que en el futuro lo reemplacen.</w:t>
      </w:r>
    </w:p>
    <w:p w14:paraId="564F534C" w14:textId="77777777" w:rsidR="00405D2F" w:rsidRDefault="00405D2F" w:rsidP="00405D2F">
      <w:pPr>
        <w:jc w:val="both"/>
        <w:rPr>
          <w:rFonts w:ascii="Times New Roman" w:eastAsia="Times New Roman" w:hAnsi="Times New Roman" w:cs="Times New Roman"/>
          <w:sz w:val="24"/>
          <w:szCs w:val="24"/>
        </w:rPr>
      </w:pPr>
    </w:p>
    <w:p w14:paraId="3C3B8006" w14:textId="77777777" w:rsidR="00405D2F" w:rsidRDefault="00405D2F" w:rsidP="00405D2F">
      <w:pPr>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La fecha alude al día en que Juan Domingo Perón asumió la Secretaría de Trabajo y Previsión Social, en homenaje al rol que su gestión tuvo en la consolidación del sistema de previsión social estatal a partir de su institucionalización y jerarquización. </w:t>
      </w:r>
      <w:r>
        <w:rPr>
          <w:rFonts w:ascii="Times New Roman" w:eastAsia="Times New Roman" w:hAnsi="Times New Roman" w:cs="Times New Roman"/>
          <w:sz w:val="24"/>
          <w:szCs w:val="24"/>
          <w:highlight w:val="white"/>
        </w:rPr>
        <w:t xml:space="preserve">En este sentido, cabe destacar que, durante las presidencias de Perón, la Secretaría de Trabajo se transformó en el Ministerio de Trabajo y Previsión (1949). </w:t>
      </w:r>
    </w:p>
    <w:p w14:paraId="51AB31DB" w14:textId="77777777" w:rsidR="00405D2F" w:rsidRDefault="00405D2F" w:rsidP="00405D2F">
      <w:pPr>
        <w:ind w:firstLine="720"/>
        <w:jc w:val="both"/>
        <w:rPr>
          <w:rFonts w:ascii="Times New Roman" w:eastAsia="Times New Roman" w:hAnsi="Times New Roman" w:cs="Times New Roman"/>
          <w:sz w:val="24"/>
          <w:szCs w:val="24"/>
          <w:highlight w:val="white"/>
        </w:rPr>
      </w:pPr>
    </w:p>
    <w:p w14:paraId="2FA489EF" w14:textId="77777777" w:rsidR="00405D2F" w:rsidRDefault="00405D2F" w:rsidP="00405D2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 su vez, se gestionaron numerosos avances como la creación la Caja de Jubilación de Trabajadores Rurales e Independientes, Profesionales y Empresarios (1954), la sanción de la Ley 14370/54 –la primera en materia previsional y de aplicación general- y la extensión del derecho a la previsión social para amplias franjas de la clase trabajadora. El acceso a la cobertura previsional quedó dependiendo sólo de la pertenencia del trabajador al mercado formal.</w:t>
      </w:r>
      <w:r>
        <w:rPr>
          <w:rFonts w:ascii="Times New Roman" w:eastAsia="Times New Roman" w:hAnsi="Times New Roman" w:cs="Times New Roman"/>
          <w:sz w:val="24"/>
          <w:szCs w:val="24"/>
        </w:rPr>
        <w:t xml:space="preserve"> </w:t>
      </w:r>
    </w:p>
    <w:p w14:paraId="564C5477" w14:textId="77777777" w:rsidR="00405D2F" w:rsidRDefault="00405D2F" w:rsidP="00405D2F">
      <w:pPr>
        <w:ind w:firstLine="720"/>
        <w:jc w:val="both"/>
        <w:rPr>
          <w:rFonts w:ascii="Times New Roman" w:eastAsia="Times New Roman" w:hAnsi="Times New Roman" w:cs="Times New Roman"/>
          <w:sz w:val="24"/>
          <w:szCs w:val="24"/>
        </w:rPr>
      </w:pPr>
    </w:p>
    <w:p w14:paraId="49512D60" w14:textId="77777777" w:rsidR="00405D2F" w:rsidRDefault="00405D2F" w:rsidP="00405D2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Pese al derrocamiento del peronismo, en un contexto internacional de expansión del constitucionalismo social que había derivado en un rol más activo de los Estados en la garantía de los derechos sociales de la población, el aumento de la cobertura previsional continuó hasta estabilizarse en alrededor de un 60% de la población potencialmente beneficiaria a principios de 1980. </w:t>
      </w:r>
    </w:p>
    <w:p w14:paraId="4A46950A" w14:textId="77777777" w:rsidR="00405D2F" w:rsidRDefault="00405D2F" w:rsidP="00405D2F">
      <w:pPr>
        <w:ind w:firstLine="720"/>
        <w:jc w:val="both"/>
        <w:rPr>
          <w:rFonts w:ascii="Times New Roman" w:eastAsia="Times New Roman" w:hAnsi="Times New Roman" w:cs="Times New Roman"/>
          <w:sz w:val="24"/>
          <w:szCs w:val="24"/>
        </w:rPr>
      </w:pPr>
    </w:p>
    <w:p w14:paraId="10D08052" w14:textId="77777777" w:rsidR="00405D2F" w:rsidRDefault="00405D2F" w:rsidP="00405D2F">
      <w:pPr>
        <w:shd w:val="clear" w:color="auto" w:fill="FFFFFF"/>
        <w:spacing w:after="2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década de los 90, tuvo lugar una drástica reforma al sistema previsional, abandonándose la solidaridad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como principio constitutivo del sistema. La Ley 24.241/94 instituyó un sistema mixto que combinaba el sistema de reparto público y la capitalización individual como alternativas de las futuras jubilaciones. El primero, administrado por el Estado y, el segundo, por las Administradoras de Fondos de Jubilaciones y Pensiones (AFJP) y Compañías de Seguro de Retiro (CSR), ambas del sector privado, que debían garantizar a los afiliados y beneficiarios del régimen de capitalización idéntica cobertura y tratamiento que la brindada por el régimen previsional público. </w:t>
      </w:r>
    </w:p>
    <w:p w14:paraId="29D77B8B" w14:textId="77777777" w:rsidR="00405D2F" w:rsidRDefault="00405D2F" w:rsidP="00405D2F">
      <w:pPr>
        <w:shd w:val="clear" w:color="auto" w:fill="FFFFFF"/>
        <w:spacing w:after="2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modificaciones posteriores incluyeron la creación de un Fondo de Garantía de Sustentabilidad que recién pudo concretarse en el año 2007. En el 2008, se sancionó la Ley 26.425/08 que unifica el sistema de jubilaciones y pensiones en un único régimen denominado </w:t>
      </w:r>
      <w:r>
        <w:rPr>
          <w:rFonts w:ascii="Times New Roman" w:eastAsia="Times New Roman" w:hAnsi="Times New Roman" w:cs="Times New Roman"/>
          <w:i/>
          <w:sz w:val="24"/>
          <w:szCs w:val="24"/>
        </w:rPr>
        <w:t xml:space="preserve">Sistema Integrado Previsional Argentino </w:t>
      </w:r>
      <w:r>
        <w:rPr>
          <w:rFonts w:ascii="Times New Roman" w:eastAsia="Times New Roman" w:hAnsi="Times New Roman" w:cs="Times New Roman"/>
          <w:sz w:val="24"/>
          <w:szCs w:val="24"/>
        </w:rPr>
        <w:t xml:space="preserve">(SIPA), todavía vigente. Dicha ley dispuso la transferencia al </w:t>
      </w:r>
      <w:proofErr w:type="spellStart"/>
      <w:r>
        <w:rPr>
          <w:rFonts w:ascii="Times New Roman" w:eastAsia="Times New Roman" w:hAnsi="Times New Roman" w:cs="Times New Roman"/>
          <w:sz w:val="24"/>
          <w:szCs w:val="24"/>
        </w:rPr>
        <w:t>ANSeS</w:t>
      </w:r>
      <w:proofErr w:type="spellEnd"/>
      <w:r>
        <w:rPr>
          <w:rFonts w:ascii="Times New Roman" w:eastAsia="Times New Roman" w:hAnsi="Times New Roman" w:cs="Times New Roman"/>
          <w:sz w:val="24"/>
          <w:szCs w:val="24"/>
        </w:rPr>
        <w:t xml:space="preserve"> de los depósitos que se encontraban en las cuentas de capitalización de los afiliados y beneficiarios. Esta reforma implicó el retornó al régimen de reparto y se caracteriza por ampliar el número de beneficiarios y tipos de beneficios, basarse en el principio de la solidaridad y financiarse a través de la lógica del sistema de reparto, entre otros. </w:t>
      </w:r>
    </w:p>
    <w:p w14:paraId="4AAB4E59" w14:textId="77777777" w:rsidR="00405D2F" w:rsidRDefault="00405D2F" w:rsidP="00405D2F">
      <w:pPr>
        <w:shd w:val="clear" w:color="auto" w:fill="FFFFFF"/>
        <w:spacing w:after="2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Como resultado de estas políticas, la cobertura previsional dio un salto significativo, superando el 90% de la población potencialmente destinataria. De esta manera, teniendo en cuenta la historia y la importancia del sistema previsional para el bienestar social, conmemorar el Día del Trabajador Previsional Argentino es una forma valorar la tarea cotidiana que dichos trabajadores realizan para que el Estado garantice los derechos de las personas mayores.</w:t>
      </w:r>
    </w:p>
    <w:p w14:paraId="28E997C8" w14:textId="77777777" w:rsidR="00405D2F" w:rsidRDefault="00405D2F" w:rsidP="00405D2F">
      <w:pPr>
        <w:shd w:val="clear" w:color="auto" w:fill="FFFFFF"/>
        <w:spacing w:after="2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lo expuesto, solicito la aprobación del presente proyecto de declaración.</w:t>
      </w:r>
      <w:r>
        <w:rPr>
          <w:rFonts w:ascii="Times New Roman" w:eastAsia="Times New Roman" w:hAnsi="Times New Roman" w:cs="Times New Roman"/>
          <w:sz w:val="24"/>
          <w:szCs w:val="24"/>
        </w:rPr>
        <w:br/>
      </w:r>
    </w:p>
    <w:p w14:paraId="193B8386" w14:textId="77777777" w:rsidR="00AF6352" w:rsidRPr="00405D2F" w:rsidRDefault="00AF6352" w:rsidP="00405D2F"/>
    <w:sectPr w:rsidR="00AF6352" w:rsidRPr="00405D2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CA85D" w14:textId="77777777" w:rsidR="003D0F3F" w:rsidRDefault="003D0F3F">
      <w:r>
        <w:separator/>
      </w:r>
    </w:p>
  </w:endnote>
  <w:endnote w:type="continuationSeparator" w:id="0">
    <w:p w14:paraId="499A3109" w14:textId="77777777" w:rsidR="003D0F3F" w:rsidRDefault="003D0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46EB" w14:textId="77777777" w:rsidR="00601A75" w:rsidRPr="003D0F3F" w:rsidRDefault="00601A75">
    <w:pPr>
      <w:pStyle w:val="Piedepgina"/>
      <w:rPr>
        <w:color w:val="333333"/>
        <w:sz w:val="20"/>
      </w:rPr>
    </w:pPr>
    <w:bookmarkStart w:id="0" w:name="Proyecto"/>
    <w:bookmarkEnd w:id="0"/>
  </w:p>
  <w:p w14:paraId="7E9675EA" w14:textId="335A2D2D" w:rsidR="00601A75" w:rsidRPr="003D0F3F" w:rsidRDefault="00601A75">
    <w:pPr>
      <w:pStyle w:val="Piedepgina"/>
      <w:rPr>
        <w:color w:val="333333"/>
        <w:sz w:val="20"/>
      </w:rPr>
    </w:pPr>
    <w:r w:rsidRPr="003D0F3F">
      <w:rPr>
        <w:color w:val="333333"/>
        <w:sz w:val="20"/>
      </w:rPr>
      <w:t xml:space="preserve">Último cambio: </w:t>
    </w:r>
    <w:r w:rsidRPr="003D0F3F">
      <w:rPr>
        <w:color w:val="333333"/>
        <w:sz w:val="20"/>
      </w:rPr>
      <w:fldChar w:fldCharType="begin"/>
    </w:r>
    <w:r w:rsidRPr="003D0F3F">
      <w:rPr>
        <w:color w:val="333333"/>
        <w:sz w:val="20"/>
      </w:rPr>
      <w:instrText xml:space="preserve"> SAVEDATE  \* MERGEFORMAT </w:instrText>
    </w:r>
    <w:r w:rsidRPr="003D0F3F">
      <w:rPr>
        <w:color w:val="333333"/>
        <w:sz w:val="20"/>
      </w:rPr>
      <w:fldChar w:fldCharType="separate"/>
    </w:r>
    <w:r w:rsidR="00DC288C">
      <w:rPr>
        <w:noProof/>
        <w:color w:val="333333"/>
        <w:sz w:val="20"/>
      </w:rPr>
      <w:t>28/09/2022 15:43:00</w:t>
    </w:r>
    <w:r w:rsidRPr="003D0F3F">
      <w:rPr>
        <w:color w:val="333333"/>
        <w:sz w:val="20"/>
      </w:rPr>
      <w:fldChar w:fldCharType="end"/>
    </w:r>
    <w:r w:rsidRPr="003D0F3F">
      <w:rPr>
        <w:color w:val="333333"/>
        <w:sz w:val="20"/>
      </w:rPr>
      <w:t xml:space="preserve">  -  Cantidad de caracteres: </w:t>
    </w:r>
    <w:r w:rsidRPr="003D0F3F">
      <w:rPr>
        <w:color w:val="333333"/>
        <w:sz w:val="20"/>
      </w:rPr>
      <w:fldChar w:fldCharType="begin"/>
    </w:r>
    <w:r w:rsidRPr="003D0F3F">
      <w:rPr>
        <w:color w:val="333333"/>
        <w:sz w:val="20"/>
      </w:rPr>
      <w:instrText xml:space="preserve"> NUMCHARS  \* MERGEFORMAT </w:instrText>
    </w:r>
    <w:r w:rsidRPr="003D0F3F">
      <w:rPr>
        <w:color w:val="333333"/>
        <w:sz w:val="20"/>
      </w:rPr>
      <w:fldChar w:fldCharType="separate"/>
    </w:r>
    <w:r w:rsidR="00DC288C">
      <w:rPr>
        <w:noProof/>
        <w:color w:val="333333"/>
        <w:sz w:val="20"/>
      </w:rPr>
      <w:t>3313</w:t>
    </w:r>
    <w:r w:rsidRPr="003D0F3F">
      <w:rPr>
        <w:color w:val="333333"/>
        <w:sz w:val="20"/>
      </w:rPr>
      <w:fldChar w:fldCharType="end"/>
    </w:r>
    <w:r w:rsidRPr="003D0F3F">
      <w:rPr>
        <w:color w:val="333333"/>
        <w:sz w:val="20"/>
      </w:rPr>
      <w:t xml:space="preserve"> - Cantidad de palabras: </w:t>
    </w:r>
    <w:r w:rsidRPr="003D0F3F">
      <w:rPr>
        <w:color w:val="333333"/>
        <w:sz w:val="20"/>
      </w:rPr>
      <w:fldChar w:fldCharType="begin"/>
    </w:r>
    <w:r w:rsidRPr="003D0F3F">
      <w:rPr>
        <w:color w:val="333333"/>
        <w:sz w:val="20"/>
      </w:rPr>
      <w:instrText xml:space="preserve"> NUMWORDS  \* MERGEFORMAT </w:instrText>
    </w:r>
    <w:r w:rsidRPr="003D0F3F">
      <w:rPr>
        <w:color w:val="333333"/>
        <w:sz w:val="20"/>
      </w:rPr>
      <w:fldChar w:fldCharType="separate"/>
    </w:r>
    <w:r w:rsidR="00DC288C">
      <w:rPr>
        <w:noProof/>
        <w:color w:val="333333"/>
        <w:sz w:val="20"/>
      </w:rPr>
      <w:t>601</w:t>
    </w:r>
    <w:r w:rsidRPr="003D0F3F">
      <w:rPr>
        <w:color w:val="333333"/>
        <w:sz w:val="20"/>
      </w:rPr>
      <w:fldChar w:fldCharType="end"/>
    </w:r>
  </w:p>
  <w:p w14:paraId="6D369C53" w14:textId="77777777" w:rsidR="00601A75" w:rsidRPr="003D0F3F" w:rsidRDefault="00601A75" w:rsidP="00B05649">
    <w:pPr>
      <w:pStyle w:val="Piedepgina"/>
      <w:tabs>
        <w:tab w:val="left" w:pos="3565"/>
      </w:tabs>
      <w:rPr>
        <w:rStyle w:val="Nmerodepgina"/>
        <w:color w:val="333333"/>
      </w:rPr>
    </w:pPr>
    <w:r w:rsidRPr="003D0F3F">
      <w:rPr>
        <w:color w:val="333333"/>
        <w:sz w:val="20"/>
      </w:rPr>
      <w:tab/>
      <w:t>Pág.</w:t>
    </w:r>
    <w:r w:rsidRPr="003D0F3F">
      <w:rPr>
        <w:color w:val="333333"/>
      </w:rPr>
      <w:t xml:space="preserve"> </w:t>
    </w:r>
    <w:r w:rsidRPr="003D0F3F">
      <w:rPr>
        <w:rStyle w:val="Nmerodepgina"/>
        <w:color w:val="333333"/>
      </w:rPr>
      <w:fldChar w:fldCharType="begin"/>
    </w:r>
    <w:r w:rsidRPr="003D0F3F">
      <w:rPr>
        <w:rStyle w:val="Nmerodepgina"/>
        <w:color w:val="333333"/>
      </w:rPr>
      <w:instrText xml:space="preserve"> PAGE </w:instrText>
    </w:r>
    <w:r w:rsidRPr="003D0F3F">
      <w:rPr>
        <w:rStyle w:val="Nmerodepgina"/>
        <w:color w:val="333333"/>
      </w:rPr>
      <w:fldChar w:fldCharType="separate"/>
    </w:r>
    <w:r w:rsidR="00F5569F" w:rsidRPr="003D0F3F">
      <w:rPr>
        <w:rStyle w:val="Nmerodepgina"/>
        <w:noProof/>
        <w:color w:val="333333"/>
      </w:rPr>
      <w:t>1</w:t>
    </w:r>
    <w:r w:rsidRPr="003D0F3F">
      <w:rPr>
        <w:rStyle w:val="Nmerodepgina"/>
        <w:color w:val="333333"/>
      </w:rPr>
      <w:fldChar w:fldCharType="end"/>
    </w:r>
    <w:r w:rsidRPr="003D0F3F">
      <w:rPr>
        <w:rStyle w:val="Nmerodepgina"/>
        <w:color w:val="333333"/>
      </w:rPr>
      <w:t>/</w:t>
    </w:r>
    <w:r w:rsidRPr="003D0F3F">
      <w:rPr>
        <w:rStyle w:val="Nmerodepgina"/>
        <w:color w:val="333333"/>
      </w:rPr>
      <w:fldChar w:fldCharType="begin"/>
    </w:r>
    <w:r w:rsidRPr="003D0F3F">
      <w:rPr>
        <w:rStyle w:val="Nmerodepgina"/>
        <w:color w:val="333333"/>
      </w:rPr>
      <w:instrText xml:space="preserve"> NUMPAGES  \* MERGEFORMAT </w:instrText>
    </w:r>
    <w:r w:rsidRPr="003D0F3F">
      <w:rPr>
        <w:rStyle w:val="Nmerodepgina"/>
        <w:color w:val="333333"/>
      </w:rPr>
      <w:fldChar w:fldCharType="separate"/>
    </w:r>
    <w:r w:rsidR="00F5569F" w:rsidRPr="003D0F3F">
      <w:rPr>
        <w:rStyle w:val="Nmerodepgina"/>
        <w:noProof/>
        <w:color w:val="333333"/>
      </w:rPr>
      <w:t>1</w:t>
    </w:r>
    <w:r w:rsidRPr="003D0F3F">
      <w:rPr>
        <w:rStyle w:val="Nmerodepgina"/>
        <w:color w:val="333333"/>
      </w:rPr>
      <w:fldChar w:fldCharType="end"/>
    </w:r>
    <w:r w:rsidRPr="003D0F3F">
      <w:rPr>
        <w:rStyle w:val="Nmerodepgina"/>
        <w:color w:val="333333"/>
      </w:rPr>
      <w:t xml:space="preserve"> </w:t>
    </w:r>
  </w:p>
  <w:p w14:paraId="631801FA" w14:textId="77777777" w:rsidR="00601A75" w:rsidRPr="003D0F3F"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209E5" w14:textId="77777777" w:rsidR="003D0F3F" w:rsidRDefault="003D0F3F">
      <w:r>
        <w:separator/>
      </w:r>
    </w:p>
  </w:footnote>
  <w:footnote w:type="continuationSeparator" w:id="0">
    <w:p w14:paraId="3C6A0862" w14:textId="77777777" w:rsidR="003D0F3F" w:rsidRDefault="003D0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1FE4" w14:textId="4C03C8C4" w:rsidR="0033168A" w:rsidRDefault="002277F9" w:rsidP="0033168A">
    <w:pPr>
      <w:pStyle w:val="Encabezado"/>
      <w:ind w:left="-2410" w:firstLine="850"/>
      <w:jc w:val="center"/>
      <w:rPr>
        <w:i/>
        <w:sz w:val="18"/>
        <w:szCs w:val="18"/>
      </w:rPr>
    </w:pPr>
    <w:r w:rsidRPr="005A3AA1">
      <w:rPr>
        <w:noProof/>
        <w:lang w:val="es-ES"/>
      </w:rPr>
      <w:drawing>
        <wp:inline distT="0" distB="0" distL="0" distR="0" wp14:anchorId="242603E5" wp14:editId="12F13ED2">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3AEE3484"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F3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277F9"/>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0F3F"/>
    <w:rsid w:val="003D10AB"/>
    <w:rsid w:val="003D4000"/>
    <w:rsid w:val="003F1EFD"/>
    <w:rsid w:val="003F4249"/>
    <w:rsid w:val="00401C75"/>
    <w:rsid w:val="00405D2F"/>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C288C"/>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5FE18E"/>
  <w15:chartTrackingRefBased/>
  <w15:docId w15:val="{9452E6E5-BCA7-4039-977D-D96F770B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D2F"/>
    <w:pPr>
      <w:spacing w:line="276" w:lineRule="auto"/>
    </w:pPr>
    <w:rPr>
      <w:rFonts w:ascii="Arial" w:eastAsia="Arial" w:hAnsi="Arial" w:cs="Arial"/>
      <w:sz w:val="22"/>
      <w:szCs w:val="22"/>
      <w:lang w:val="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TotalTime>
  <Pages>3</Pages>
  <Words>601</Words>
  <Characters>3313</Characters>
  <Application>Microsoft Office Word</Application>
  <DocSecurity>0</DocSecurity>
  <Lines>102</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4</cp:revision>
  <cp:lastPrinted>1601-01-01T00:00:00Z</cp:lastPrinted>
  <dcterms:created xsi:type="dcterms:W3CDTF">2022-09-28T18:34:00Z</dcterms:created>
  <dcterms:modified xsi:type="dcterms:W3CDTF">2022-09-28T18:43:00Z</dcterms:modified>
</cp:coreProperties>
</file>