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2A3" w:rsidRPr="00FA02A3" w:rsidRDefault="00FA02A3" w:rsidP="00081FFF">
      <w:pPr>
        <w:rPr>
          <w:lang w:val="es-MX"/>
        </w:rPr>
      </w:pPr>
      <w:r w:rsidRPr="00FA02A3">
        <w:rPr>
          <w:lang w:val="es-MX"/>
        </w:rPr>
        <w:tab/>
      </w:r>
    </w:p>
    <w:p w:rsidR="00FA02A3" w:rsidRPr="00FA02A3" w:rsidRDefault="00FA02A3" w:rsidP="00FA02A3">
      <w:pPr>
        <w:jc w:val="center"/>
        <w:rPr>
          <w:b/>
          <w:lang w:val="es-MX"/>
        </w:rPr>
      </w:pPr>
      <w:bookmarkStart w:id="0" w:name="PDeclaración"/>
      <w:bookmarkEnd w:id="0"/>
      <w:r w:rsidRPr="00FA02A3">
        <w:rPr>
          <w:b/>
          <w:lang w:val="es-MX"/>
        </w:rPr>
        <w:t>PROYECTO DE DECLARACIÓN</w:t>
      </w:r>
    </w:p>
    <w:p w:rsidR="00FA02A3" w:rsidRPr="00FA02A3" w:rsidRDefault="00FA02A3" w:rsidP="00FA02A3">
      <w:pPr>
        <w:rPr>
          <w:b/>
          <w:lang w:val="es-MX"/>
        </w:rPr>
      </w:pPr>
    </w:p>
    <w:p w:rsidR="00FA02A3" w:rsidRPr="00FA02A3" w:rsidRDefault="00FA02A3" w:rsidP="00FA02A3">
      <w:pPr>
        <w:rPr>
          <w:lang w:val="es-MX"/>
        </w:rPr>
      </w:pPr>
    </w:p>
    <w:p w:rsidR="00FA02A3" w:rsidRPr="00652515" w:rsidRDefault="00FA02A3" w:rsidP="00FA02A3">
      <w:pPr>
        <w:rPr>
          <w:szCs w:val="24"/>
        </w:rPr>
      </w:pPr>
      <w:r w:rsidRPr="00652515">
        <w:rPr>
          <w:color w:val="000000"/>
          <w:szCs w:val="24"/>
        </w:rPr>
        <w:t>Declarase de Interés Cultural de la Ciudad Autónoma de Buenos Aires a la Red de Museo</w:t>
      </w:r>
      <w:r>
        <w:rPr>
          <w:color w:val="000000"/>
          <w:szCs w:val="24"/>
        </w:rPr>
        <w:t>s</w:t>
      </w:r>
      <w:r w:rsidRPr="00652515">
        <w:rPr>
          <w:color w:val="000000"/>
          <w:szCs w:val="24"/>
        </w:rPr>
        <w:t xml:space="preserve"> de la Universidad de Buenos Aires dependiente de la Coordinación Red de Museo</w:t>
      </w:r>
      <w:r w:rsidR="00314B59">
        <w:rPr>
          <w:color w:val="000000"/>
          <w:szCs w:val="24"/>
        </w:rPr>
        <w:t>s</w:t>
      </w:r>
      <w:r w:rsidRPr="00652515">
        <w:rPr>
          <w:color w:val="000000"/>
          <w:szCs w:val="24"/>
        </w:rPr>
        <w:t xml:space="preserve"> UBA – Secretaría de Extensión Universitaria y Bienestar Estudiantil-UBA.</w:t>
      </w:r>
      <w:bookmarkStart w:id="1" w:name="_GoBack"/>
      <w:bookmarkEnd w:id="1"/>
    </w:p>
    <w:p w:rsidR="00FA02A3" w:rsidRPr="00FA02A3" w:rsidRDefault="00FA02A3" w:rsidP="00FA02A3"/>
    <w:p w:rsidR="00FA02A3" w:rsidRPr="00FA02A3" w:rsidRDefault="00FA02A3" w:rsidP="00FA02A3">
      <w:pPr>
        <w:rPr>
          <w:lang w:val="es-MX"/>
        </w:rPr>
      </w:pPr>
    </w:p>
    <w:p w:rsidR="00FA02A3" w:rsidRPr="00FA02A3" w:rsidRDefault="00FA02A3" w:rsidP="00FA02A3">
      <w:pPr>
        <w:rPr>
          <w:lang w:val="es-MX"/>
        </w:rPr>
      </w:pPr>
    </w:p>
    <w:p w:rsidR="00FA02A3" w:rsidRDefault="00FA02A3" w:rsidP="00FA02A3">
      <w:pPr>
        <w:rPr>
          <w:lang w:val="es-MX"/>
        </w:rPr>
      </w:pPr>
      <w:r>
        <w:rPr>
          <w:lang w:val="es-MX"/>
        </w:rPr>
        <w:t xml:space="preserve">Señor Presidente: </w:t>
      </w:r>
    </w:p>
    <w:p w:rsidR="00FA02A3" w:rsidRDefault="00FA02A3" w:rsidP="00FA02A3">
      <w:pPr>
        <w:rPr>
          <w:lang w:val="es-MX"/>
        </w:rPr>
      </w:pPr>
    </w:p>
    <w:p w:rsidR="00FA02A3" w:rsidRPr="00FA02A3" w:rsidRDefault="00FA02A3" w:rsidP="00FA02A3">
      <w:pPr>
        <w:rPr>
          <w:lang w:val="es-MX"/>
        </w:rPr>
      </w:pPr>
    </w:p>
    <w:p w:rsidR="00FA02A3" w:rsidRPr="008970AD" w:rsidRDefault="00FA02A3" w:rsidP="00FA02A3">
      <w:pPr>
        <w:rPr>
          <w:color w:val="000000"/>
          <w:szCs w:val="24"/>
        </w:rPr>
      </w:pPr>
      <w:r w:rsidRPr="008970AD">
        <w:rPr>
          <w:color w:val="000000"/>
          <w:szCs w:val="24"/>
        </w:rPr>
        <w:t xml:space="preserve">La Red de Museos de la Universidad de Buenos Aires está integrada por 23 museos de distintas disciplinas que dependen de cátedras, institutos, departamentos, secretarías o decanatos. </w:t>
      </w:r>
    </w:p>
    <w:p w:rsidR="00FA02A3" w:rsidRDefault="00FA02A3" w:rsidP="00FA02A3">
      <w:pPr>
        <w:rPr>
          <w:color w:val="000000"/>
          <w:szCs w:val="24"/>
        </w:rPr>
      </w:pPr>
    </w:p>
    <w:p w:rsidR="00FA02A3" w:rsidRPr="008970AD" w:rsidRDefault="00FA02A3" w:rsidP="00FA02A3">
      <w:pPr>
        <w:rPr>
          <w:szCs w:val="24"/>
        </w:rPr>
      </w:pPr>
      <w:r w:rsidRPr="008970AD">
        <w:rPr>
          <w:color w:val="000000"/>
          <w:szCs w:val="24"/>
        </w:rPr>
        <w:t>En 1887 se crea</w:t>
      </w:r>
      <w:r>
        <w:rPr>
          <w:color w:val="000000"/>
          <w:szCs w:val="24"/>
        </w:rPr>
        <w:t xml:space="preserve"> </w:t>
      </w:r>
      <w:r w:rsidRPr="008970AD">
        <w:rPr>
          <w:color w:val="000000"/>
          <w:szCs w:val="24"/>
        </w:rPr>
        <w:t>el primer museo de la UBA e</w:t>
      </w:r>
      <w:r w:rsidRPr="008970AD">
        <w:rPr>
          <w:szCs w:val="24"/>
        </w:rPr>
        <w:t>n la Facultad de Medicina,</w:t>
      </w:r>
      <w:r w:rsidRPr="008970AD">
        <w:rPr>
          <w:color w:val="000000"/>
          <w:szCs w:val="24"/>
        </w:rPr>
        <w:t xml:space="preserve"> el Museo de Patologí</w:t>
      </w:r>
      <w:r w:rsidRPr="008970AD">
        <w:rPr>
          <w:szCs w:val="24"/>
        </w:rPr>
        <w:t>a</w:t>
      </w:r>
      <w:r w:rsidRPr="008970AD">
        <w:rPr>
          <w:color w:val="000000"/>
          <w:szCs w:val="24"/>
        </w:rPr>
        <w:t>; desd</w:t>
      </w:r>
      <w:r w:rsidRPr="008970AD">
        <w:rPr>
          <w:szCs w:val="24"/>
        </w:rPr>
        <w:t>e entonces se han generado museos en distintas unidades académicas siendo el último el de l</w:t>
      </w:r>
      <w:r w:rsidRPr="008970AD">
        <w:rPr>
          <w:color w:val="000000"/>
          <w:szCs w:val="24"/>
        </w:rPr>
        <w:t xml:space="preserve">a Cátedra de Anatomía Dr. Francisco </w:t>
      </w:r>
      <w:proofErr w:type="spellStart"/>
      <w:r w:rsidRPr="008970AD">
        <w:rPr>
          <w:color w:val="000000"/>
          <w:szCs w:val="24"/>
        </w:rPr>
        <w:t>Rophille</w:t>
      </w:r>
      <w:proofErr w:type="spellEnd"/>
      <w:r w:rsidRPr="008970AD">
        <w:rPr>
          <w:color w:val="000000"/>
          <w:szCs w:val="24"/>
        </w:rPr>
        <w:t xml:space="preserve"> de la Facultad de Odontología en 2019.</w:t>
      </w:r>
    </w:p>
    <w:p w:rsidR="00FA02A3" w:rsidRDefault="00FA02A3" w:rsidP="00FA02A3">
      <w:pPr>
        <w:shd w:val="clear" w:color="auto" w:fill="FFFFFF"/>
        <w:rPr>
          <w:szCs w:val="24"/>
        </w:rPr>
      </w:pPr>
    </w:p>
    <w:p w:rsidR="00FA02A3" w:rsidRPr="008970AD" w:rsidRDefault="00FA02A3" w:rsidP="00FA02A3">
      <w:pPr>
        <w:shd w:val="clear" w:color="auto" w:fill="FFFFFF"/>
        <w:rPr>
          <w:szCs w:val="24"/>
        </w:rPr>
      </w:pPr>
      <w:r w:rsidRPr="008970AD">
        <w:rPr>
          <w:szCs w:val="24"/>
        </w:rPr>
        <w:t>El origen de la Red se remonta al año</w:t>
      </w:r>
      <w:r w:rsidRPr="008970AD">
        <w:rPr>
          <w:color w:val="000000"/>
          <w:szCs w:val="24"/>
        </w:rPr>
        <w:t xml:space="preserve"> 1991 cuando el Consejo Superior por resolución 1445,  crea la </w:t>
      </w:r>
      <w:r w:rsidRPr="008970AD">
        <w:rPr>
          <w:szCs w:val="24"/>
        </w:rPr>
        <w:t>r</w:t>
      </w:r>
      <w:r w:rsidRPr="008970AD">
        <w:rPr>
          <w:color w:val="000000"/>
          <w:szCs w:val="24"/>
        </w:rPr>
        <w:t>ed</w:t>
      </w:r>
      <w:r w:rsidRPr="008970AD">
        <w:rPr>
          <w:szCs w:val="24"/>
        </w:rPr>
        <w:t xml:space="preserve"> de Museos de Ciencia y Tecnología</w:t>
      </w:r>
      <w:r w:rsidRPr="008970AD">
        <w:rPr>
          <w:color w:val="000000"/>
          <w:szCs w:val="24"/>
        </w:rPr>
        <w:t xml:space="preserve"> con el objetivo de atesorar y difundir el conocimiento científico</w:t>
      </w:r>
      <w:r w:rsidRPr="008970AD">
        <w:rPr>
          <w:szCs w:val="24"/>
        </w:rPr>
        <w:t xml:space="preserve"> y </w:t>
      </w:r>
      <w:r w:rsidRPr="008970AD">
        <w:rPr>
          <w:color w:val="000000"/>
          <w:szCs w:val="24"/>
        </w:rPr>
        <w:t>tecnológico producido por la Universidad, y promover el desarrollo de la investigación y transferencia de conocimiento a la comunidad científica y a la sociedad en su conjunto. </w:t>
      </w:r>
    </w:p>
    <w:p w:rsidR="00FA02A3" w:rsidRDefault="00FA02A3" w:rsidP="00FA02A3">
      <w:pPr>
        <w:rPr>
          <w:szCs w:val="24"/>
          <w:highlight w:val="white"/>
        </w:rPr>
      </w:pPr>
    </w:p>
    <w:p w:rsidR="00FA02A3" w:rsidRPr="008970AD" w:rsidRDefault="00FA02A3" w:rsidP="00FA02A3">
      <w:pPr>
        <w:rPr>
          <w:szCs w:val="24"/>
        </w:rPr>
      </w:pPr>
      <w:r w:rsidRPr="008970AD">
        <w:rPr>
          <w:szCs w:val="24"/>
          <w:highlight w:val="white"/>
        </w:rPr>
        <w:t xml:space="preserve">En el año 1995 el Rector de la Universidad por resolución 728 encomienda a la </w:t>
      </w:r>
      <w:r w:rsidRPr="008970AD">
        <w:rPr>
          <w:color w:val="000000"/>
          <w:szCs w:val="24"/>
          <w:highlight w:val="white"/>
        </w:rPr>
        <w:t>Secretaría de Extensión Universitaria y Bienestar Estudianti</w:t>
      </w:r>
      <w:r w:rsidRPr="008970AD">
        <w:rPr>
          <w:szCs w:val="24"/>
          <w:highlight w:val="white"/>
        </w:rPr>
        <w:t xml:space="preserve">l </w:t>
      </w:r>
      <w:r w:rsidRPr="008970AD">
        <w:rPr>
          <w:color w:val="000000"/>
          <w:szCs w:val="24"/>
          <w:highlight w:val="white"/>
        </w:rPr>
        <w:t xml:space="preserve">la </w:t>
      </w:r>
      <w:r w:rsidRPr="008970AD">
        <w:rPr>
          <w:szCs w:val="24"/>
          <w:highlight w:val="white"/>
        </w:rPr>
        <w:t>c</w:t>
      </w:r>
      <w:r w:rsidRPr="008970AD">
        <w:rPr>
          <w:color w:val="000000"/>
          <w:szCs w:val="24"/>
          <w:highlight w:val="white"/>
        </w:rPr>
        <w:t xml:space="preserve">oordinación de la Red </w:t>
      </w:r>
      <w:r w:rsidRPr="008970AD">
        <w:rPr>
          <w:szCs w:val="24"/>
          <w:highlight w:val="white"/>
        </w:rPr>
        <w:t xml:space="preserve">de Museos de Ciencia y Tecnología de la Universidad. En el </w:t>
      </w:r>
      <w:r w:rsidRPr="008970AD">
        <w:rPr>
          <w:szCs w:val="24"/>
        </w:rPr>
        <w:t>2002</w:t>
      </w:r>
      <w:r w:rsidRPr="008970AD">
        <w:rPr>
          <w:szCs w:val="24"/>
          <w:highlight w:val="white"/>
        </w:rPr>
        <w:t>se formaliza la creación de la coordinación con el propósito de incentivar l</w:t>
      </w:r>
      <w:r w:rsidRPr="008970AD">
        <w:rPr>
          <w:color w:val="000000"/>
          <w:szCs w:val="24"/>
          <w:highlight w:val="white"/>
        </w:rPr>
        <w:t xml:space="preserve">a relación entre los museos universitarios, potenciar su desarrollo, colaborar en la difusión de sus actividades y cooperar con sus requerimientos en todo lo correspondiente a </w:t>
      </w:r>
      <w:r w:rsidRPr="008970AD">
        <w:rPr>
          <w:color w:val="000000"/>
          <w:szCs w:val="24"/>
        </w:rPr>
        <w:t>conservación y restauración de las colecciones, documentación e inventariado de las piezas, formación de recursos humanos, investigación, extensión y en el mejoramiento de sus instalaciones. Desde su creación se han desarrollado cursos, congresos, jornadas y exhibiciones conjuntas de los museos pertenecientes a la Red. </w:t>
      </w:r>
    </w:p>
    <w:p w:rsidR="00FA02A3" w:rsidRDefault="00FA02A3" w:rsidP="00FA02A3">
      <w:pPr>
        <w:rPr>
          <w:color w:val="000000"/>
          <w:szCs w:val="24"/>
        </w:rPr>
      </w:pPr>
    </w:p>
    <w:p w:rsidR="00FA02A3" w:rsidRPr="008970AD" w:rsidRDefault="00FA02A3" w:rsidP="00FA02A3">
      <w:pPr>
        <w:rPr>
          <w:color w:val="000000"/>
          <w:szCs w:val="24"/>
        </w:rPr>
      </w:pPr>
      <w:r w:rsidRPr="008970AD">
        <w:rPr>
          <w:color w:val="000000"/>
          <w:szCs w:val="24"/>
        </w:rPr>
        <w:t xml:space="preserve">Cada uno de los museos de la Red, cumple las funciones propias de la universidad: investigación, docencia y extensión. </w:t>
      </w:r>
      <w:r w:rsidRPr="008970AD">
        <w:rPr>
          <w:szCs w:val="24"/>
        </w:rPr>
        <w:t>En consecuencia</w:t>
      </w:r>
      <w:r w:rsidRPr="008970AD">
        <w:rPr>
          <w:color w:val="000000"/>
          <w:szCs w:val="24"/>
        </w:rPr>
        <w:t xml:space="preserve"> desarrollan actividades de conservación, documentación, investigación, exhibición, transmisión cultural y difusión de conocimiento científico. Todos pertenecen a distintas disciplinas de las diversas facultades y al Colegio Nacional Buenos Aires. La universidad cuenta con cuatro museos en la Facultad de Medicina, con dos en  Odontología, dos museos en Farmacia y Bioquímica, dos en Filosofía y Letras, dos en Ciencias Exactas y Naturales, uno en Ciencias Veterinarias, uno en Agronomía, uno en Derecho, dos en Arquitectura, Diseño y Urbanismo, uno en Ciencias Económicas, uno en Psicología, uno en Ingeniería y  tres en el Colegio Nacional Buenos Aires.</w:t>
      </w:r>
    </w:p>
    <w:p w:rsidR="00FA02A3" w:rsidRDefault="00FA02A3" w:rsidP="00FA02A3">
      <w:pPr>
        <w:rPr>
          <w:color w:val="000000"/>
          <w:szCs w:val="24"/>
        </w:rPr>
      </w:pPr>
      <w:bookmarkStart w:id="2" w:name="_gjdgxs" w:colFirst="0" w:colLast="0"/>
      <w:bookmarkEnd w:id="2"/>
    </w:p>
    <w:p w:rsidR="00FA02A3" w:rsidRDefault="00FA02A3" w:rsidP="00FA02A3">
      <w:pPr>
        <w:rPr>
          <w:szCs w:val="24"/>
        </w:rPr>
      </w:pPr>
      <w:r w:rsidRPr="008970AD">
        <w:rPr>
          <w:color w:val="000000"/>
          <w:szCs w:val="24"/>
        </w:rPr>
        <w:t>La Red que reúne a los museos promueve la conservación, puesta en valor y difusión de este patrimonio universitario que pertenece a toda la sociedad. Gran parte de él es único en el país. La mayor parte de sus valiosas colecciones, que ingresaron a fines del siglo XIX y durante el XX, permiten reconstruir la historia de las disciplinas y abordar problemáticas actuales. De estas colecciones podemos destacar aparatos</w:t>
      </w:r>
      <w:r w:rsidRPr="008970AD">
        <w:rPr>
          <w:szCs w:val="24"/>
        </w:rPr>
        <w:t xml:space="preserve">, </w:t>
      </w:r>
      <w:r w:rsidRPr="008970AD">
        <w:rPr>
          <w:color w:val="000000"/>
          <w:szCs w:val="24"/>
        </w:rPr>
        <w:t>instrumental y modelos botánicos adquiridos en casas</w:t>
      </w:r>
      <w:r w:rsidRPr="008970AD">
        <w:rPr>
          <w:szCs w:val="24"/>
        </w:rPr>
        <w:t xml:space="preserve"> europeas que permiten reconstruir l</w:t>
      </w:r>
      <w:r w:rsidRPr="008970AD">
        <w:rPr>
          <w:color w:val="000000"/>
          <w:szCs w:val="24"/>
        </w:rPr>
        <w:t>a historia de la medicina, la bioquímica, la farmacia y la odontología en los museos de las facultades de Medicina, Farmacia y Bioquímica y Odontología</w:t>
      </w:r>
      <w:r w:rsidRPr="008970AD">
        <w:rPr>
          <w:szCs w:val="24"/>
        </w:rPr>
        <w:t>;</w:t>
      </w:r>
      <w:r w:rsidRPr="008970AD">
        <w:rPr>
          <w:color w:val="000000"/>
          <w:szCs w:val="24"/>
        </w:rPr>
        <w:t xml:space="preserve"> maquinaria agrícola y modelos </w:t>
      </w:r>
      <w:r w:rsidRPr="008970AD">
        <w:rPr>
          <w:color w:val="000000"/>
          <w:szCs w:val="24"/>
        </w:rPr>
        <w:lastRenderedPageBreak/>
        <w:t>anatómicos veterinarios de casa comerciales francesas en museos de las Facultades de Agronomía y Ciencias Veterinarias; modelos matemáticos, muestras mineralógicas, instrumentos y aparatos para los estudios de geología, la química y la física,  en los museos de la Facultad de Ciencias Exactas y Naturales y del Colegio Nacional Buenos Aires; maquetas de arquitectura y formas de d</w:t>
      </w:r>
      <w:r w:rsidRPr="008970AD">
        <w:rPr>
          <w:szCs w:val="24"/>
        </w:rPr>
        <w:t xml:space="preserve">iseño </w:t>
      </w:r>
      <w:r w:rsidRPr="008970AD">
        <w:rPr>
          <w:color w:val="000000"/>
          <w:szCs w:val="24"/>
        </w:rPr>
        <w:t xml:space="preserve">en los museos de la Facultad de Arquitectura, Diseño y Urbanismo; tallas de madera africanas, sarcófago egipcio, tejidos y armas de pueblos indígenas de la Argentina, África y Oceanía, objetos de distintos cultos religiosos y arqueológicos  en los museos de la Facultad de Filosofía y </w:t>
      </w:r>
      <w:r w:rsidRPr="008970AD">
        <w:rPr>
          <w:szCs w:val="24"/>
        </w:rPr>
        <w:t>Letras; máquinas e instrumentos de ingeniería electrónica, ambiental y civil en el museo de la Facultad de Ingeniería;  aparatos relacionados con la psicología experimental, adquiridos en casas europeas, en el museo de la Facultad de Psicología; mobiliario y objetos de edificios ocupados por la Facultad de Derecho, en el museo ubicado en el edificio que actualmente ocupa dicha Facultad; material gráfico y espacio multimedia para recorrer la historia del endeudamiento externo argentino desde sus orígenes en el museo de la Facultad de Ciencias Económicas.</w:t>
      </w:r>
    </w:p>
    <w:p w:rsidR="00FA02A3" w:rsidRDefault="00FA02A3" w:rsidP="00FA02A3">
      <w:pPr>
        <w:rPr>
          <w:szCs w:val="24"/>
        </w:rPr>
      </w:pPr>
    </w:p>
    <w:p w:rsidR="00FA02A3" w:rsidRPr="008970AD" w:rsidRDefault="00FA02A3" w:rsidP="00FA02A3">
      <w:pPr>
        <w:rPr>
          <w:szCs w:val="24"/>
        </w:rPr>
      </w:pPr>
      <w:r w:rsidRPr="008970AD">
        <w:rPr>
          <w:szCs w:val="24"/>
        </w:rPr>
        <w:t xml:space="preserve">Asimismo en su mayoría estas colecciones están acompañadas por </w:t>
      </w:r>
      <w:r w:rsidRPr="008970AD">
        <w:rPr>
          <w:color w:val="000000"/>
          <w:szCs w:val="24"/>
        </w:rPr>
        <w:t xml:space="preserve">libros y archivos documentales </w:t>
      </w:r>
      <w:r w:rsidRPr="008970AD">
        <w:rPr>
          <w:szCs w:val="24"/>
        </w:rPr>
        <w:t>e</w:t>
      </w:r>
      <w:r w:rsidRPr="008970AD">
        <w:rPr>
          <w:color w:val="000000"/>
          <w:szCs w:val="24"/>
        </w:rPr>
        <w:t>ntre mu</w:t>
      </w:r>
      <w:r w:rsidRPr="008970AD">
        <w:rPr>
          <w:szCs w:val="24"/>
        </w:rPr>
        <w:t xml:space="preserve">chos otros de importancia </w:t>
      </w:r>
      <w:r w:rsidRPr="008970AD">
        <w:rPr>
          <w:color w:val="000000"/>
          <w:szCs w:val="24"/>
        </w:rPr>
        <w:t>como por ejemplo el Archivo del naturalista, médico y botánico francés</w:t>
      </w:r>
      <w:r w:rsidRPr="008970AD">
        <w:rPr>
          <w:szCs w:val="24"/>
        </w:rPr>
        <w:t xml:space="preserve">, </w:t>
      </w:r>
      <w:proofErr w:type="spellStart"/>
      <w:r w:rsidRPr="008970AD">
        <w:rPr>
          <w:color w:val="000000"/>
          <w:szCs w:val="24"/>
        </w:rPr>
        <w:t>AimeBonpland</w:t>
      </w:r>
      <w:proofErr w:type="spellEnd"/>
      <w:r w:rsidRPr="008970AD">
        <w:rPr>
          <w:color w:val="000000"/>
          <w:szCs w:val="24"/>
        </w:rPr>
        <w:t xml:space="preserve"> en </w:t>
      </w:r>
      <w:r w:rsidRPr="008970AD">
        <w:rPr>
          <w:szCs w:val="24"/>
        </w:rPr>
        <w:t xml:space="preserve">un museo de Farmacia, el archivo del arqueólogo sueco, Eric </w:t>
      </w:r>
      <w:proofErr w:type="spellStart"/>
      <w:r w:rsidRPr="008970AD">
        <w:rPr>
          <w:szCs w:val="24"/>
        </w:rPr>
        <w:t>Boman</w:t>
      </w:r>
      <w:proofErr w:type="spellEnd"/>
      <w:r w:rsidRPr="008970AD">
        <w:rPr>
          <w:szCs w:val="24"/>
        </w:rPr>
        <w:t>, en museos de la Facultad de Filosofía y Letras.</w:t>
      </w:r>
    </w:p>
    <w:p w:rsidR="00FA02A3" w:rsidRDefault="00FA02A3" w:rsidP="00FA02A3">
      <w:pPr>
        <w:rPr>
          <w:color w:val="000000"/>
          <w:szCs w:val="24"/>
        </w:rPr>
      </w:pPr>
    </w:p>
    <w:p w:rsidR="00FA02A3" w:rsidRDefault="00FA02A3" w:rsidP="00FA02A3">
      <w:pPr>
        <w:rPr>
          <w:color w:val="000000"/>
          <w:szCs w:val="24"/>
        </w:rPr>
      </w:pPr>
      <w:r w:rsidRPr="008970AD">
        <w:rPr>
          <w:color w:val="000000"/>
          <w:szCs w:val="24"/>
        </w:rPr>
        <w:t>Siendo los Museos tan heterogéneos en cuanto a su pertenencia disciplinar, su inclusión en la Red subraya su calidad de universitarios, reforzando una identidad y una pertenencia que exige la reflexión crítica sobre la disciplina, su historia y sus prácticas profesionales en vinculación con la sociedad de la que forman parte. La existencia de la Red pone de manifiesto la voluntad de la Universidad de difundir el conocimiento y el patrimonio universitario.</w:t>
      </w:r>
    </w:p>
    <w:p w:rsidR="00FA02A3" w:rsidRDefault="00FA02A3" w:rsidP="00FA02A3">
      <w:pPr>
        <w:rPr>
          <w:color w:val="000000"/>
          <w:szCs w:val="24"/>
        </w:rPr>
      </w:pPr>
    </w:p>
    <w:p w:rsidR="00FA02A3" w:rsidRPr="008970AD" w:rsidRDefault="00FA02A3" w:rsidP="00FA02A3">
      <w:pPr>
        <w:rPr>
          <w:szCs w:val="24"/>
        </w:rPr>
      </w:pPr>
      <w:r>
        <w:rPr>
          <w:color w:val="000000"/>
          <w:szCs w:val="24"/>
        </w:rPr>
        <w:t>Por los motivos expuestos se solicita la aprobación del presente Proyecto de Declaración.</w:t>
      </w:r>
    </w:p>
    <w:p w:rsidR="00FA02A3" w:rsidRPr="00FA02A3" w:rsidRDefault="00FA02A3" w:rsidP="00FA02A3"/>
    <w:p w:rsidR="00AF6352" w:rsidRPr="00FA02A3" w:rsidRDefault="00AF6352" w:rsidP="00FA02A3">
      <w:pPr>
        <w:rPr>
          <w:lang w:val="es-MX"/>
        </w:rPr>
      </w:pPr>
    </w:p>
    <w:p w:rsidR="00B177FE" w:rsidRPr="00FA02A3" w:rsidRDefault="00B177FE" w:rsidP="00081FFF">
      <w:pPr>
        <w:rPr>
          <w:lang w:val="es-MX"/>
        </w:rPr>
      </w:pPr>
    </w:p>
    <w:p w:rsidR="00B177FE" w:rsidRPr="00FA02A3" w:rsidRDefault="00B177FE" w:rsidP="00081FFF">
      <w:pPr>
        <w:rPr>
          <w:lang w:val="es-MX"/>
        </w:rPr>
      </w:pPr>
    </w:p>
    <w:p w:rsidR="00AF6352" w:rsidRPr="00FA02A3" w:rsidRDefault="00AF6352" w:rsidP="00081FFF">
      <w:pPr>
        <w:rPr>
          <w:lang w:val="es-MX"/>
        </w:rPr>
      </w:pPr>
    </w:p>
    <w:sectPr w:rsidR="00AF6352" w:rsidRPr="00FA02A3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2A3" w:rsidRDefault="00FA02A3">
      <w:r>
        <w:separator/>
      </w:r>
    </w:p>
  </w:endnote>
  <w:endnote w:type="continuationSeparator" w:id="1">
    <w:p w:rsidR="00FA02A3" w:rsidRDefault="00FA02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FA02A3" w:rsidRDefault="00601A75">
    <w:pPr>
      <w:pStyle w:val="Piedepgina"/>
      <w:rPr>
        <w:color w:val="333333"/>
        <w:sz w:val="20"/>
      </w:rPr>
    </w:pPr>
    <w:bookmarkStart w:id="3" w:name="Proyecto"/>
    <w:bookmarkEnd w:id="3"/>
  </w:p>
  <w:p w:rsidR="00601A75" w:rsidRPr="00FA02A3" w:rsidRDefault="00601A75">
    <w:pPr>
      <w:pStyle w:val="Piedepgina"/>
      <w:rPr>
        <w:color w:val="333333"/>
        <w:sz w:val="20"/>
      </w:rPr>
    </w:pPr>
    <w:r w:rsidRPr="00FA02A3">
      <w:rPr>
        <w:color w:val="333333"/>
        <w:sz w:val="20"/>
      </w:rPr>
      <w:t xml:space="preserve">Último cambio: </w:t>
    </w:r>
    <w:fldSimple w:instr=" SAVEDATE  \* MERGEFORMAT ">
      <w:r w:rsidR="00314B59">
        <w:rPr>
          <w:noProof/>
          <w:color w:val="333333"/>
          <w:sz w:val="20"/>
        </w:rPr>
        <w:t>09/05/2022 15:54:00</w:t>
      </w:r>
    </w:fldSimple>
    <w:r w:rsidRPr="00FA02A3">
      <w:rPr>
        <w:color w:val="333333"/>
        <w:sz w:val="20"/>
      </w:rPr>
      <w:t xml:space="preserve">  -  Cantidad de caracteres: </w:t>
    </w:r>
    <w:fldSimple w:instr=" NUMCHARS  \* MERGEFORMAT ">
      <w:r w:rsidR="00314B59">
        <w:rPr>
          <w:noProof/>
          <w:color w:val="333333"/>
          <w:sz w:val="20"/>
        </w:rPr>
        <w:t>4661</w:t>
      </w:r>
    </w:fldSimple>
    <w:r w:rsidRPr="00FA02A3">
      <w:rPr>
        <w:color w:val="333333"/>
        <w:sz w:val="20"/>
      </w:rPr>
      <w:t xml:space="preserve"> - Cantidad de palabras: </w:t>
    </w:r>
    <w:fldSimple w:instr=" NUMWORDS  \* MERGEFORMAT ">
      <w:r w:rsidR="00314B59">
        <w:rPr>
          <w:noProof/>
          <w:color w:val="333333"/>
          <w:sz w:val="20"/>
        </w:rPr>
        <w:t>848</w:t>
      </w:r>
    </w:fldSimple>
  </w:p>
  <w:p w:rsidR="00601A75" w:rsidRPr="00FA02A3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A02A3">
      <w:rPr>
        <w:color w:val="333333"/>
        <w:sz w:val="20"/>
      </w:rPr>
      <w:tab/>
      <w:t>Pág.</w:t>
    </w:r>
    <w:r w:rsidRPr="00FA02A3">
      <w:rPr>
        <w:color w:val="333333"/>
      </w:rPr>
      <w:t xml:space="preserve"> </w:t>
    </w:r>
    <w:r w:rsidRPr="00FA02A3">
      <w:rPr>
        <w:rStyle w:val="Nmerodepgina"/>
        <w:color w:val="333333"/>
      </w:rPr>
      <w:fldChar w:fldCharType="begin"/>
    </w:r>
    <w:r w:rsidRPr="00FA02A3">
      <w:rPr>
        <w:rStyle w:val="Nmerodepgina"/>
        <w:color w:val="333333"/>
      </w:rPr>
      <w:instrText xml:space="preserve"> PAGE </w:instrText>
    </w:r>
    <w:r w:rsidRPr="00FA02A3">
      <w:rPr>
        <w:rStyle w:val="Nmerodepgina"/>
        <w:color w:val="333333"/>
      </w:rPr>
      <w:fldChar w:fldCharType="separate"/>
    </w:r>
    <w:r w:rsidR="00314B59">
      <w:rPr>
        <w:rStyle w:val="Nmerodepgina"/>
        <w:noProof/>
        <w:color w:val="333333"/>
      </w:rPr>
      <w:t>2</w:t>
    </w:r>
    <w:r w:rsidRPr="00FA02A3">
      <w:rPr>
        <w:rStyle w:val="Nmerodepgina"/>
        <w:color w:val="333333"/>
      </w:rPr>
      <w:fldChar w:fldCharType="end"/>
    </w:r>
    <w:r w:rsidRPr="00FA02A3">
      <w:rPr>
        <w:rStyle w:val="Nmerodepgina"/>
        <w:color w:val="333333"/>
      </w:rPr>
      <w:t>/</w:t>
    </w:r>
    <w:fldSimple w:instr=" NUMPAGES  \* MERGEFORMAT ">
      <w:r w:rsidR="00314B59">
        <w:rPr>
          <w:rStyle w:val="Nmerodepgina"/>
          <w:noProof/>
          <w:color w:val="333333"/>
        </w:rPr>
        <w:t>2</w:t>
      </w:r>
    </w:fldSimple>
    <w:r w:rsidRPr="00FA02A3">
      <w:rPr>
        <w:rStyle w:val="Nmerodepgina"/>
        <w:color w:val="333333"/>
      </w:rPr>
      <w:t xml:space="preserve"> </w:t>
    </w:r>
  </w:p>
  <w:p w:rsidR="00601A75" w:rsidRPr="00FA02A3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2A3" w:rsidRDefault="00FA02A3">
      <w:r>
        <w:separator/>
      </w:r>
    </w:p>
  </w:footnote>
  <w:footnote w:type="continuationSeparator" w:id="1">
    <w:p w:rsidR="00FA02A3" w:rsidRDefault="00FA02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FA02A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211AF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4B59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211AF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2A3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11A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11AF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214689944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5</TotalTime>
  <Pages>2</Pages>
  <Words>848</Words>
  <Characters>4661</Characters>
  <Application>Microsoft Office Word</Application>
  <DocSecurity>0</DocSecurity>
  <Lines>93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23214689944</dc:creator>
  <cp:lastModifiedBy>23214689944</cp:lastModifiedBy>
  <cp:revision>3</cp:revision>
  <cp:lastPrinted>1601-01-01T00:00:00Z</cp:lastPrinted>
  <dcterms:created xsi:type="dcterms:W3CDTF">2022-05-09T18:52:00Z</dcterms:created>
  <dcterms:modified xsi:type="dcterms:W3CDTF">2022-05-09T18:57:00Z</dcterms:modified>
</cp:coreProperties>
</file>