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81E" w:rsidRDefault="0054181E" w:rsidP="0054181E">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54181E" w:rsidRDefault="0054181E" w:rsidP="0054181E">
      <w:pPr>
        <w:pStyle w:val="normal0"/>
      </w:pP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w:t>
      </w:r>
      <w:r>
        <w:rPr>
          <w:rFonts w:ascii="Times New Roman" w:eastAsia="Times New Roman" w:hAnsi="Times New Roman" w:cs="Times New Roman"/>
          <w:sz w:val="24"/>
          <w:szCs w:val="24"/>
        </w:rPr>
        <w:t xml:space="preserve"> Institúyase el día 23 de junio de cada año como el "Día del Síndrome de Dravet".</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r>
        <w:rPr>
          <w:rFonts w:ascii="Times New Roman" w:eastAsia="Times New Roman" w:hAnsi="Times New Roman" w:cs="Times New Roman"/>
          <w:sz w:val="24"/>
          <w:szCs w:val="24"/>
        </w:rPr>
        <w:t xml:space="preserve"> La autoridad de aplicación de la presente Ley es el Ministerio de Salud del Gobierno de la Ciudad de Buenos Aires y su ámbito de aplicación es el de la jurisdicción de la Ciudad Autónoma de Buenos Aires. </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w:t>
      </w:r>
      <w:r>
        <w:rPr>
          <w:rFonts w:ascii="Times New Roman" w:eastAsia="Times New Roman" w:hAnsi="Times New Roman" w:cs="Times New Roman"/>
          <w:sz w:val="24"/>
          <w:szCs w:val="24"/>
        </w:rPr>
        <w:t xml:space="preserve"> El Ministerio de Salud propicia el desarrollo de actividades de concientización, importancia de la detección precoz y programas tendientes a difundir las particularidades del  Síndrome de Dravet en la sociedad en general y en las comunidades científicas, educativas, culturales y laborales en particular.</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4°.-</w:t>
      </w:r>
      <w:r>
        <w:rPr>
          <w:rFonts w:ascii="Times New Roman" w:eastAsia="Times New Roman" w:hAnsi="Times New Roman" w:cs="Times New Roman"/>
          <w:sz w:val="24"/>
          <w:szCs w:val="24"/>
        </w:rPr>
        <w:t xml:space="preserve"> La autoridad de aplicación promueve la colaboración de organizaciones de la sociedad civil, que se especializan en el Síndrome de Dravet, a fin de definir programas de acción, favorecer el intercambio de información, tecnologías y cualquier otro aspecto que sea relevante para la concientización, detección precoz y tratamiento del síndrome. </w:t>
      </w:r>
    </w:p>
    <w:p w:rsidR="0054181E" w:rsidRDefault="0054181E" w:rsidP="0054181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5°.-</w:t>
      </w:r>
      <w:r>
        <w:rPr>
          <w:rFonts w:ascii="Times New Roman" w:eastAsia="Times New Roman" w:hAnsi="Times New Roman" w:cs="Times New Roman"/>
          <w:sz w:val="24"/>
          <w:szCs w:val="24"/>
        </w:rPr>
        <w:t xml:space="preserve"> El poder Ejecutivo contará con un plazo de 180 días para la reglamentación.</w:t>
      </w:r>
    </w:p>
    <w:p w:rsidR="0054181E" w:rsidRDefault="0054181E" w:rsidP="0054181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6°.-</w:t>
      </w:r>
      <w:r>
        <w:rPr>
          <w:rFonts w:ascii="Times New Roman" w:eastAsia="Times New Roman" w:hAnsi="Times New Roman" w:cs="Times New Roman"/>
          <w:sz w:val="24"/>
          <w:szCs w:val="24"/>
        </w:rPr>
        <w:t xml:space="preserve"> Comuníquese.</w:t>
      </w: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both"/>
        <w:rPr>
          <w:rFonts w:ascii="Times New Roman" w:eastAsia="Times New Roman" w:hAnsi="Times New Roman" w:cs="Times New Roman"/>
          <w:sz w:val="24"/>
          <w:szCs w:val="24"/>
        </w:rPr>
      </w:pPr>
    </w:p>
    <w:p w:rsidR="0054181E" w:rsidRDefault="0054181E" w:rsidP="0054181E">
      <w:pPr>
        <w:pStyle w:val="normal0"/>
        <w:jc w:val="center"/>
        <w:rPr>
          <w:rFonts w:ascii="Times New Roman" w:eastAsia="Times New Roman" w:hAnsi="Times New Roman" w:cs="Times New Roman"/>
          <w:b/>
          <w:sz w:val="24"/>
          <w:szCs w:val="24"/>
        </w:rPr>
      </w:pPr>
    </w:p>
    <w:p w:rsidR="0054181E" w:rsidRDefault="0054181E" w:rsidP="0054181E">
      <w:pPr>
        <w:pStyle w:val="normal0"/>
        <w:jc w:val="center"/>
        <w:rPr>
          <w:rFonts w:ascii="Times New Roman" w:eastAsia="Times New Roman" w:hAnsi="Times New Roman" w:cs="Times New Roman"/>
          <w:b/>
          <w:sz w:val="24"/>
          <w:szCs w:val="24"/>
        </w:rPr>
      </w:pPr>
    </w:p>
    <w:p w:rsidR="0054181E" w:rsidRDefault="0054181E" w:rsidP="0054181E">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54181E" w:rsidRDefault="0054181E" w:rsidP="0054181E">
      <w:pPr>
        <w:pStyle w:val="normal0"/>
        <w:spacing w:line="360" w:lineRule="auto"/>
        <w:jc w:val="both"/>
        <w:rPr>
          <w:rFonts w:ascii="Times New Roman" w:eastAsia="Times New Roman" w:hAnsi="Times New Roman" w:cs="Times New Roman"/>
          <w:sz w:val="24"/>
          <w:szCs w:val="24"/>
        </w:rPr>
      </w:pP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 Síndrome de Dravet, también conocido como epilepsia mioclónica grave de la infancia, es una forma rara de epilepsia que comienza en la infancia y continúa con una morbilidad acumulada que afecta a las personas a lo largo de su vida. Es una encefalopatía epiléptica del desarrollo de origen genético, se encuadra dentro de la familia patológica de las canalopatías y se presenta entre los primeros meses hasta el año de vida. Se manifiesta con convulsiones prolongadas, febriles o en ausencia de fiebre, que no responden a los tratamientos con los fármacos actuales. Estas crisis convulsivas provocan deterioro cognitivo, pérdida de pautas madurativas y problemas motores.</w:t>
      </w:r>
    </w:p>
    <w:p w:rsidR="0054181E" w:rsidRDefault="0054181E" w:rsidP="0054181E">
      <w:pPr>
        <w:pStyle w:val="normal0"/>
        <w:pBdr>
          <w:top w:val="nil"/>
          <w:left w:val="nil"/>
          <w:bottom w:val="nil"/>
          <w:right w:val="nil"/>
          <w:between w:val="nil"/>
        </w:pBd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Es una </w:t>
      </w:r>
      <w:r>
        <w:rPr>
          <w:rFonts w:ascii="Times New Roman" w:eastAsia="Times New Roman" w:hAnsi="Times New Roman" w:cs="Times New Roman"/>
          <w:sz w:val="24"/>
          <w:szCs w:val="24"/>
        </w:rPr>
        <w:t>patología</w:t>
      </w:r>
      <w:r>
        <w:rPr>
          <w:rFonts w:ascii="Times New Roman" w:eastAsia="Times New Roman" w:hAnsi="Times New Roman" w:cs="Times New Roman"/>
          <w:color w:val="000000"/>
          <w:sz w:val="24"/>
          <w:szCs w:val="24"/>
        </w:rPr>
        <w:t xml:space="preserve"> que presenta una incidencia de 1 en 16000 nacimientos, por lo que se la considera una Enfermedad Poco Frecuente (EPoF). Aproximadamente el 89% de los pacientes afectados presenta una mutación en el gen SCN 1A. Un gen es un segmento corto de ADN, juntos constituyen el material hereditario de una persona.</w:t>
      </w:r>
    </w:p>
    <w:p w:rsidR="0054181E" w:rsidRDefault="0054181E" w:rsidP="0054181E">
      <w:pPr>
        <w:pStyle w:val="normal0"/>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Las dificultades de salud que se asocian a este síndrome son: </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Convulsiones Prolongadas</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Convulsiones frecuentes</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Retraso en el desarrollo de afecciones ortopédicas</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Problemas odontológicos</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 xml:space="preserve">Problemas de lenguaje y habla, </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Trastornos en el comportamiento y espectro autista</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Problemas de crecimiento y nutrición</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Dificultades para dormir</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Infecciones crónicas</w:t>
      </w:r>
    </w:p>
    <w:p w:rsidR="0054181E" w:rsidRDefault="0054181E" w:rsidP="0054181E">
      <w:pPr>
        <w:pStyle w:val="normal0"/>
        <w:numPr>
          <w:ilvl w:val="0"/>
          <w:numId w:val="1"/>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Trastornos de integración sensorial. Dificultades en el movimiento y el equilibrio</w:t>
      </w:r>
    </w:p>
    <w:p w:rsidR="0054181E" w:rsidRDefault="0054181E" w:rsidP="0054181E">
      <w:pPr>
        <w:pStyle w:val="normal0"/>
        <w:numPr>
          <w:ilvl w:val="0"/>
          <w:numId w:val="1"/>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Deficiente funcionamiento del sistema nervioso autónomo.</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edades más avanzadas, mayores al año, es frecuente la aparición de otro tipo de crisis como las mioclonías (movimientos involuntarios, breves y rápidos que se originan en el sistema nervioso central), ausencias atípicas y parciales complejas.  A partir del segundo año de vida se empiezan a observar síntomas de retraso en el desarrollo cognitivo y psicomotor. Se puede observar ataxia, el habla es una de las facultades más afectadas,  trastornos incluidos dentro del espectro autista, problemas alimenticios, de crecimiento y trastornos del sueño.</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Algunos de los factores desencadenantes de las crisis son los cuadros febriles, los cambios bruscos de temperatura corporal, determinados estímulos sonoros y visuales y emociones intensas.</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Los pacientes con el Síndrome de Dravet enfrentan una tasa de mortalidad del 15% debido a la muerte súbita inesperada en la epilepsia, convulsiones prolongadas o accidentes relacionados a las convulsiones como ahogamiento e infecciones.</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 acceso a los tratamientos actuales son limitados, los análisis genéticos que permiten identificar el síndrome aún no se realizan en Argentina, las obras sociales no suelen cubrirlo provocando en las familias un largo peregrinar para obtener un diagnóstico certero.</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El Dravet es una patología para la que aún no se conoce cura, suele ser resistente a tratamiento con antiepilépticos disponibles en la actualidad, inclusive algunos de ellos puede producir síntomas más severos y de difícil control. Por lo que resulta imprescindible realizar un diagnóstico precoz clínico y genético.  </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 desconocimiento de este síndrome por parte de los médicos y las familias provoca demoras en el diagnóstico y hasta  medicamentos mal indicados.</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Por todos estos motivos se necesita que el Síndrome de Dravet se reconozca en la sociedad en general y en las comunidades científicas, educativas, culturales y laborales de esta jurisdicción.</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 objetivo de este proyecto es generar conciencia sobre la importancia del conocimiento y detección temprana de esta enfermedad a través de programas de acción que sean definidos entre la autoridad de aplicación y aquellas organizaciones de la sociedad civil, no gubernamentales y científicas especialistas en este síndrome.</w:t>
      </w:r>
    </w:p>
    <w:p w:rsidR="0054181E" w:rsidRDefault="0054181E" w:rsidP="0054181E">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Por los motivos expuestos, solicito a mis pares acompañarme en este proyecto de ley.-</w:t>
      </w:r>
    </w:p>
    <w:p w:rsidR="0054181E" w:rsidRDefault="0054181E" w:rsidP="0054181E">
      <w:pPr>
        <w:pStyle w:val="normal0"/>
        <w:spacing w:line="360" w:lineRule="auto"/>
        <w:jc w:val="both"/>
        <w:rPr>
          <w:rFonts w:ascii="Times New Roman" w:eastAsia="Times New Roman" w:hAnsi="Times New Roman" w:cs="Times New Roman"/>
          <w:sz w:val="24"/>
          <w:szCs w:val="24"/>
        </w:rPr>
      </w:pPr>
    </w:p>
    <w:p w:rsidR="0054181E" w:rsidRDefault="0054181E" w:rsidP="0054181E">
      <w:pPr>
        <w:pStyle w:val="normal0"/>
        <w:spacing w:before="240"/>
        <w:ind w:hanging="2"/>
        <w:jc w:val="both"/>
        <w:rPr>
          <w:rFonts w:ascii="Arial" w:eastAsia="Arial" w:hAnsi="Arial" w:cs="Arial"/>
        </w:rPr>
      </w:pPr>
      <w:r>
        <w:rPr>
          <w:rFonts w:ascii="Times New Roman" w:eastAsia="Times New Roman" w:hAnsi="Times New Roman" w:cs="Times New Roman"/>
          <w:sz w:val="24"/>
          <w:szCs w:val="24"/>
        </w:rPr>
        <w:tab/>
      </w:r>
    </w:p>
    <w:sectPr w:rsidR="0054181E"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FBE" w:rsidRDefault="00C14FBE">
      <w:r>
        <w:separator/>
      </w:r>
    </w:p>
  </w:endnote>
  <w:endnote w:type="continuationSeparator" w:id="1">
    <w:p w:rsidR="00C14FBE" w:rsidRDefault="00C14FBE">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4181E" w:rsidRPr="0054181E">
        <w:rPr>
          <w:noProof/>
          <w:color w:val="333333"/>
          <w:sz w:val="20"/>
        </w:rPr>
        <w:t>00/00/0000 0:00:00</w:t>
      </w:r>
    </w:fldSimple>
    <w:r w:rsidRPr="001C19C4">
      <w:rPr>
        <w:color w:val="333333"/>
        <w:sz w:val="20"/>
      </w:rPr>
      <w:t xml:space="preserve">  -  Cantidad de caracteres: </w:t>
    </w:r>
    <w:fldSimple w:instr=" NUMCHARS  \* MERGEFORMAT ">
      <w:r w:rsidR="0054181E" w:rsidRPr="0054181E">
        <w:rPr>
          <w:noProof/>
          <w:color w:val="333333"/>
          <w:sz w:val="20"/>
        </w:rPr>
        <w:t>4208</w:t>
      </w:r>
    </w:fldSimple>
    <w:r w:rsidRPr="001C19C4">
      <w:rPr>
        <w:color w:val="333333"/>
        <w:sz w:val="20"/>
      </w:rPr>
      <w:t xml:space="preserve"> - Cantidad de palabras: </w:t>
    </w:r>
    <w:fldSimple w:instr=" NUMWORDS  \* MERGEFORMAT ">
      <w:r w:rsidR="0054181E" w:rsidRPr="0054181E">
        <w:rPr>
          <w:noProof/>
          <w:color w:val="333333"/>
          <w:sz w:val="20"/>
        </w:rPr>
        <w:t>762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42397" w:rsidRPr="001C19C4">
      <w:rPr>
        <w:rStyle w:val="Nmerodepgina"/>
        <w:color w:val="333333"/>
      </w:rPr>
      <w:fldChar w:fldCharType="begin"/>
    </w:r>
    <w:r w:rsidRPr="001C19C4">
      <w:rPr>
        <w:rStyle w:val="Nmerodepgina"/>
        <w:color w:val="333333"/>
      </w:rPr>
      <w:instrText xml:space="preserve"> PAGE </w:instrText>
    </w:r>
    <w:r w:rsidR="00742397" w:rsidRPr="001C19C4">
      <w:rPr>
        <w:rStyle w:val="Nmerodepgina"/>
        <w:color w:val="333333"/>
      </w:rPr>
      <w:fldChar w:fldCharType="separate"/>
    </w:r>
    <w:r w:rsidR="0054181E">
      <w:rPr>
        <w:rStyle w:val="Nmerodepgina"/>
        <w:noProof/>
        <w:color w:val="333333"/>
      </w:rPr>
      <w:t>3</w:t>
    </w:r>
    <w:r w:rsidR="00742397" w:rsidRPr="001C19C4">
      <w:rPr>
        <w:rStyle w:val="Nmerodepgina"/>
        <w:color w:val="333333"/>
      </w:rPr>
      <w:fldChar w:fldCharType="end"/>
    </w:r>
    <w:r w:rsidRPr="001C19C4">
      <w:rPr>
        <w:rStyle w:val="Nmerodepgina"/>
        <w:color w:val="333333"/>
      </w:rPr>
      <w:t>/</w:t>
    </w:r>
    <w:fldSimple w:instr=" NUMPAGES  \* MERGEFORMAT ">
      <w:r w:rsidR="0054181E" w:rsidRPr="0054181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FBE" w:rsidRDefault="00C14FBE">
      <w:r>
        <w:separator/>
      </w:r>
    </w:p>
  </w:footnote>
  <w:footnote w:type="continuationSeparator" w:id="1">
    <w:p w:rsidR="00C14FBE" w:rsidRDefault="00C14F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44BF5"/>
    <w:multiLevelType w:val="multilevel"/>
    <w:tmpl w:val="7A9AC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14FB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181E"/>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42397"/>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4FBE"/>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54181E"/>
    <w:pPr>
      <w:spacing w:after="200" w:line="276"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3</Pages>
  <Words>762</Words>
  <Characters>4208</Characters>
  <Application>Microsoft Office Word</Application>
  <DocSecurity>0</DocSecurity>
  <Lines>94</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1</cp:revision>
  <cp:lastPrinted>2020-02-28T17:24:00Z</cp:lastPrinted>
  <dcterms:created xsi:type="dcterms:W3CDTF">2022-07-01T14:57:00Z</dcterms:created>
  <dcterms:modified xsi:type="dcterms:W3CDTF">2022-07-01T14:58:00Z</dcterms:modified>
</cp:coreProperties>
</file>