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188E" w:rsidRDefault="00C1188E" w:rsidP="00C1188E">
      <w:pPr>
        <w:pStyle w:val="normal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PROYECTO DE RESOLUCION</w:t>
      </w:r>
    </w:p>
    <w:p w:rsidR="00C1188E" w:rsidRDefault="00C1188E" w:rsidP="00C1188E">
      <w:pPr>
        <w:pStyle w:val="normal0"/>
        <w:rPr>
          <w:color w:val="000000"/>
          <w:sz w:val="24"/>
          <w:szCs w:val="24"/>
        </w:rPr>
      </w:pPr>
    </w:p>
    <w:p w:rsidR="00C1188E" w:rsidRDefault="00C1188E" w:rsidP="00C1188E">
      <w:pPr>
        <w:pStyle w:val="normal0"/>
        <w:rPr>
          <w:color w:val="000000"/>
          <w:sz w:val="24"/>
          <w:szCs w:val="24"/>
        </w:rPr>
      </w:pPr>
    </w:p>
    <w:p w:rsidR="00C1188E" w:rsidRDefault="00C1188E" w:rsidP="00C1188E">
      <w:pPr>
        <w:pStyle w:val="normal0"/>
        <w:spacing w:after="2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Artículo 1º.-</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Dispónese la colocación de una placa conmemorativa en el complejo habitacional Los Perales, en el mástil ubicado ubicado entre las calles Monte y Cosquín de la Comuna 9 "Lisandro de la Torre", construido por el intendente municipal Dr. Emilio Pío Siri entre los años 1947 y 1949.</w:t>
      </w:r>
    </w:p>
    <w:p w:rsidR="00C1188E" w:rsidRDefault="00C1188E" w:rsidP="00C1188E">
      <w:pPr>
        <w:pStyle w:val="normal0"/>
        <w:shd w:val="clear" w:color="auto" w:fill="FFFFFF"/>
        <w:spacing w:after="2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Artículo 2º.- La placa dispuesta por el artículo 1° contendrá el siguiente texto:</w:t>
      </w:r>
    </w:p>
    <w:p w:rsidR="00C1188E" w:rsidRDefault="00C1188E" w:rsidP="00C1188E">
      <w:pPr>
        <w:pStyle w:val="normal0"/>
        <w:shd w:val="clear" w:color="auto" w:fill="FFFFFF"/>
        <w:spacing w:after="200"/>
        <w:jc w:val="center"/>
        <w:rPr>
          <w:rFonts w:ascii="Times New Roman" w:eastAsia="Times New Roman" w:hAnsi="Times New Roman" w:cs="Times New Roman"/>
          <w:color w:val="000000"/>
          <w:sz w:val="24"/>
          <w:szCs w:val="24"/>
        </w:rPr>
      </w:pPr>
    </w:p>
    <w:p w:rsidR="00C1188E" w:rsidRDefault="00C1188E" w:rsidP="00C1188E">
      <w:pPr>
        <w:pStyle w:val="normal0"/>
        <w:shd w:val="clear" w:color="auto" w:fill="FFFFFF"/>
        <w:spacing w:after="200"/>
        <w:jc w:val="center"/>
        <w:rPr>
          <w:rFonts w:ascii="Times New Roman" w:eastAsia="Times New Roman" w:hAnsi="Times New Roman" w:cs="Times New Roman"/>
          <w:b/>
          <w:color w:val="000000"/>
          <w:sz w:val="24"/>
          <w:szCs w:val="24"/>
        </w:rPr>
      </w:pPr>
      <w:r>
        <w:pict>
          <v:shapetype id="_x0000_t202" coordsize="21600,21600" o:spt="202" path="m,l,21600r21600,l21600,xe">
            <v:stroke joinstyle="miter"/>
            <v:path gradientshapeok="t" o:connecttype="rect"/>
          </v:shapetype>
          <v:shape id="_x0000_s1027" type="#_x0000_t202" style="position:absolute;left:0;text-align:left;margin-left:-.5pt;margin-top:-.5pt;width:343.5pt;height:177.45pt;z-index:251658240;mso-height-percent:200;mso-position-horizontal-relative:margin;mso-height-percent:200;mso-width-relative:margin;mso-height-relative:margin">
            <v:textbox style="mso-fit-shape-to-text:t">
              <w:txbxContent>
                <w:p w:rsidR="00C1188E" w:rsidRDefault="00C1188E" w:rsidP="00C1188E">
                  <w:pPr>
                    <w:pStyle w:val="normal0"/>
                    <w:shd w:val="clear" w:color="auto" w:fill="FFFFFF"/>
                    <w:spacing w:after="20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DR. EMILIO P. SIRI</w:t>
                  </w:r>
                </w:p>
                <w:p w:rsidR="00C1188E" w:rsidRDefault="00C1188E" w:rsidP="00C1188E">
                  <w:pPr>
                    <w:pStyle w:val="normal0"/>
                    <w:shd w:val="clear" w:color="auto" w:fill="FFFFFF"/>
                    <w:spacing w:after="20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Intendente de la Capital Federal en el primero gobierno peronista.</w:t>
                  </w:r>
                </w:p>
                <w:p w:rsidR="00C1188E" w:rsidRDefault="00C1188E" w:rsidP="00C1188E">
                  <w:pPr>
                    <w:pStyle w:val="normal0"/>
                    <w:shd w:val="clear" w:color="auto" w:fill="FFFFFF"/>
                    <w:spacing w:after="20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Construyó este barrio para el bienestar de los trabajadores y trabajadoras de la Ciudad.</w:t>
                  </w:r>
                </w:p>
                <w:p w:rsidR="00C1188E" w:rsidRDefault="00C1188E" w:rsidP="00C1188E">
                  <w:pPr>
                    <w:pStyle w:val="normal0"/>
                    <w:shd w:val="clear" w:color="auto" w:fill="FFFFFF"/>
                    <w:spacing w:after="20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Homenaje de la</w:t>
                  </w:r>
                </w:p>
                <w:p w:rsidR="00C1188E" w:rsidRDefault="00C1188E" w:rsidP="00C1188E">
                  <w:pPr>
                    <w:pStyle w:val="normal0"/>
                    <w:shd w:val="clear" w:color="auto" w:fill="FFFFFF"/>
                    <w:spacing w:after="20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Legislatura de la Ciudad de Buenos Aires</w:t>
                  </w:r>
                </w:p>
                <w:p w:rsidR="00C1188E" w:rsidRDefault="00C1188E" w:rsidP="00C1188E">
                  <w:pPr>
                    <w:pStyle w:val="normal0"/>
                    <w:shd w:val="clear" w:color="auto" w:fill="FFFFFF"/>
                    <w:spacing w:after="20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2022</w:t>
                  </w:r>
                </w:p>
                <w:p w:rsidR="00C1188E" w:rsidRDefault="00C1188E" w:rsidP="00C1188E">
                  <w:pPr>
                    <w:pStyle w:val="normal0"/>
                    <w:jc w:val="center"/>
                    <w:rPr>
                      <w:lang w:val="es-ES"/>
                    </w:rPr>
                  </w:pPr>
                </w:p>
              </w:txbxContent>
            </v:textbox>
            <w10:wrap anchorx="margin"/>
          </v:shape>
        </w:pict>
      </w:r>
    </w:p>
    <w:p w:rsidR="00C1188E" w:rsidRDefault="00C1188E" w:rsidP="00C1188E">
      <w:pPr>
        <w:pStyle w:val="normal0"/>
        <w:shd w:val="clear" w:color="auto" w:fill="FFFFFF"/>
        <w:spacing w:after="200"/>
        <w:jc w:val="both"/>
        <w:rPr>
          <w:rFonts w:ascii="Times New Roman" w:eastAsia="Times New Roman" w:hAnsi="Times New Roman" w:cs="Times New Roman"/>
          <w:color w:val="000000"/>
          <w:sz w:val="24"/>
          <w:szCs w:val="24"/>
        </w:rPr>
      </w:pPr>
    </w:p>
    <w:p w:rsidR="00C1188E" w:rsidRDefault="00C1188E" w:rsidP="00C1188E">
      <w:pPr>
        <w:pStyle w:val="normal0"/>
        <w:shd w:val="clear" w:color="auto" w:fill="FFFFFF"/>
        <w:spacing w:after="200"/>
        <w:jc w:val="both"/>
        <w:rPr>
          <w:rFonts w:ascii="Times New Roman" w:eastAsia="Times New Roman" w:hAnsi="Times New Roman" w:cs="Times New Roman"/>
          <w:color w:val="000000"/>
          <w:sz w:val="24"/>
          <w:szCs w:val="24"/>
        </w:rPr>
      </w:pPr>
    </w:p>
    <w:p w:rsidR="00C1188E" w:rsidRDefault="00C1188E" w:rsidP="00C1188E">
      <w:pPr>
        <w:pStyle w:val="normal0"/>
        <w:shd w:val="clear" w:color="auto" w:fill="FFFFFF"/>
        <w:spacing w:after="200"/>
        <w:jc w:val="both"/>
        <w:rPr>
          <w:rFonts w:ascii="Times New Roman" w:eastAsia="Times New Roman" w:hAnsi="Times New Roman" w:cs="Times New Roman"/>
          <w:color w:val="000000"/>
          <w:sz w:val="24"/>
          <w:szCs w:val="24"/>
        </w:rPr>
      </w:pPr>
    </w:p>
    <w:p w:rsidR="00C1188E" w:rsidRDefault="00C1188E" w:rsidP="00C1188E">
      <w:pPr>
        <w:pStyle w:val="normal0"/>
        <w:shd w:val="clear" w:color="auto" w:fill="FFFFFF"/>
        <w:spacing w:after="200"/>
        <w:jc w:val="both"/>
        <w:rPr>
          <w:rFonts w:ascii="Times New Roman" w:eastAsia="Times New Roman" w:hAnsi="Times New Roman" w:cs="Times New Roman"/>
          <w:color w:val="000000"/>
          <w:sz w:val="24"/>
          <w:szCs w:val="24"/>
        </w:rPr>
      </w:pPr>
    </w:p>
    <w:p w:rsidR="00C1188E" w:rsidRDefault="00C1188E" w:rsidP="00C1188E">
      <w:pPr>
        <w:pStyle w:val="normal0"/>
        <w:shd w:val="clear" w:color="auto" w:fill="FFFFFF"/>
        <w:spacing w:after="200"/>
        <w:jc w:val="both"/>
        <w:rPr>
          <w:rFonts w:ascii="Times New Roman" w:eastAsia="Times New Roman" w:hAnsi="Times New Roman" w:cs="Times New Roman"/>
          <w:color w:val="000000"/>
          <w:sz w:val="24"/>
          <w:szCs w:val="24"/>
        </w:rPr>
      </w:pPr>
    </w:p>
    <w:p w:rsidR="00C1188E" w:rsidRDefault="00C1188E" w:rsidP="00C1188E">
      <w:pPr>
        <w:pStyle w:val="normal0"/>
        <w:shd w:val="clear" w:color="auto" w:fill="FFFFFF"/>
        <w:spacing w:after="200"/>
        <w:jc w:val="both"/>
        <w:rPr>
          <w:rFonts w:ascii="Times New Roman" w:eastAsia="Times New Roman" w:hAnsi="Times New Roman" w:cs="Times New Roman"/>
          <w:color w:val="000000"/>
          <w:sz w:val="24"/>
          <w:szCs w:val="24"/>
        </w:rPr>
      </w:pPr>
    </w:p>
    <w:p w:rsidR="00C1188E" w:rsidRDefault="00C1188E" w:rsidP="00C1188E">
      <w:pPr>
        <w:pStyle w:val="normal0"/>
        <w:shd w:val="clear" w:color="auto" w:fill="FFFFFF"/>
        <w:spacing w:after="200"/>
        <w:jc w:val="both"/>
        <w:rPr>
          <w:rFonts w:ascii="Times New Roman" w:eastAsia="Times New Roman" w:hAnsi="Times New Roman" w:cs="Times New Roman"/>
          <w:color w:val="000000"/>
          <w:sz w:val="24"/>
          <w:szCs w:val="24"/>
        </w:rPr>
      </w:pPr>
    </w:p>
    <w:p w:rsidR="00C1188E" w:rsidRDefault="00C1188E" w:rsidP="00C1188E">
      <w:pPr>
        <w:pStyle w:val="normal0"/>
        <w:shd w:val="clear" w:color="auto" w:fill="FFFFFF"/>
        <w:spacing w:after="2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Artículo 3º.-</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Comuníquese, etc.</w:t>
      </w:r>
    </w:p>
    <w:p w:rsidR="00C1188E" w:rsidRDefault="00C1188E" w:rsidP="00C1188E">
      <w:pPr>
        <w:pStyle w:val="normal0"/>
        <w:shd w:val="clear" w:color="auto" w:fill="FFFFFF"/>
        <w:spacing w:after="200"/>
        <w:jc w:val="center"/>
        <w:rPr>
          <w:rFonts w:ascii="Times New Roman" w:eastAsia="Times New Roman" w:hAnsi="Times New Roman" w:cs="Times New Roman"/>
          <w:b/>
          <w:color w:val="000000"/>
          <w:sz w:val="22"/>
          <w:szCs w:val="22"/>
        </w:rPr>
      </w:pPr>
    </w:p>
    <w:p w:rsidR="00C1188E" w:rsidRDefault="00C1188E" w:rsidP="00C1188E">
      <w:pPr>
        <w:pStyle w:val="normal0"/>
        <w:rPr>
          <w:color w:val="000000"/>
        </w:rPr>
      </w:pPr>
    </w:p>
    <w:p w:rsidR="00C1188E" w:rsidRDefault="00C1188E" w:rsidP="00C1188E">
      <w:pPr>
        <w:pStyle w:val="normal0"/>
        <w:rPr>
          <w:color w:val="000000"/>
        </w:rPr>
      </w:pPr>
    </w:p>
    <w:p w:rsidR="00C1188E" w:rsidRDefault="00C1188E" w:rsidP="00C1188E">
      <w:pPr>
        <w:pStyle w:val="normal0"/>
        <w:rPr>
          <w:color w:val="000000"/>
        </w:rPr>
      </w:pPr>
    </w:p>
    <w:p w:rsidR="00C1188E" w:rsidRDefault="00C1188E" w:rsidP="00C1188E">
      <w:pPr>
        <w:pStyle w:val="normal0"/>
        <w:rPr>
          <w:color w:val="000000"/>
        </w:rPr>
      </w:pPr>
    </w:p>
    <w:p w:rsidR="00C1188E" w:rsidRDefault="00C1188E" w:rsidP="00C1188E">
      <w:pPr>
        <w:pStyle w:val="normal0"/>
        <w:rPr>
          <w:color w:val="000000"/>
        </w:rPr>
      </w:pPr>
    </w:p>
    <w:p w:rsidR="00C1188E" w:rsidRDefault="00C1188E" w:rsidP="00C1188E">
      <w:pPr>
        <w:pStyle w:val="normal0"/>
        <w:rPr>
          <w:color w:val="000000"/>
        </w:rPr>
      </w:pPr>
    </w:p>
    <w:p w:rsidR="00C1188E" w:rsidRDefault="00C1188E" w:rsidP="00C1188E">
      <w:pPr>
        <w:pStyle w:val="normal0"/>
        <w:rPr>
          <w:color w:val="000000"/>
        </w:rPr>
      </w:pPr>
    </w:p>
    <w:p w:rsidR="00C1188E" w:rsidRDefault="00C1188E" w:rsidP="00C1188E">
      <w:pPr>
        <w:pStyle w:val="normal0"/>
        <w:rPr>
          <w:color w:val="000000"/>
        </w:rPr>
      </w:pPr>
    </w:p>
    <w:p w:rsidR="00C1188E" w:rsidRDefault="00C1188E" w:rsidP="00C1188E">
      <w:pPr>
        <w:pStyle w:val="normal0"/>
        <w:rPr>
          <w:color w:val="000000"/>
        </w:rPr>
      </w:pPr>
    </w:p>
    <w:p w:rsidR="00C1188E" w:rsidRDefault="00C1188E" w:rsidP="00C1188E">
      <w:pPr>
        <w:pStyle w:val="normal0"/>
        <w:rPr>
          <w:color w:val="000000"/>
        </w:rPr>
      </w:pPr>
    </w:p>
    <w:p w:rsidR="00C1188E" w:rsidRDefault="00C1188E" w:rsidP="00C1188E">
      <w:pPr>
        <w:pStyle w:val="normal0"/>
        <w:rPr>
          <w:color w:val="000000"/>
        </w:rPr>
      </w:pPr>
    </w:p>
    <w:p w:rsidR="00C1188E" w:rsidRDefault="00C1188E" w:rsidP="00C1188E">
      <w:pPr>
        <w:pStyle w:val="normal0"/>
        <w:rPr>
          <w:color w:val="000000"/>
        </w:rPr>
      </w:pPr>
    </w:p>
    <w:p w:rsidR="00C1188E" w:rsidRDefault="00C1188E" w:rsidP="00C1188E">
      <w:pPr>
        <w:pStyle w:val="normal0"/>
        <w:rPr>
          <w:color w:val="000000"/>
        </w:rPr>
      </w:pPr>
    </w:p>
    <w:p w:rsidR="00C1188E" w:rsidRDefault="00C1188E" w:rsidP="00C1188E">
      <w:pPr>
        <w:pStyle w:val="normal0"/>
        <w:rPr>
          <w:color w:val="000000"/>
        </w:rPr>
      </w:pPr>
    </w:p>
    <w:p w:rsidR="00C1188E" w:rsidRDefault="00C1188E" w:rsidP="00C1188E">
      <w:pPr>
        <w:pStyle w:val="normal0"/>
        <w:rPr>
          <w:color w:val="000000"/>
        </w:rPr>
      </w:pPr>
    </w:p>
    <w:p w:rsidR="00C1188E" w:rsidRDefault="00C1188E" w:rsidP="00C1188E">
      <w:pPr>
        <w:pStyle w:val="normal0"/>
        <w:rPr>
          <w:color w:val="000000"/>
        </w:rPr>
      </w:pPr>
    </w:p>
    <w:p w:rsidR="00C1188E" w:rsidRDefault="00C1188E" w:rsidP="00C1188E">
      <w:pPr>
        <w:pStyle w:val="normal0"/>
        <w:rPr>
          <w:color w:val="000000"/>
        </w:rPr>
      </w:pPr>
    </w:p>
    <w:p w:rsidR="00C1188E" w:rsidRDefault="00C1188E" w:rsidP="00C1188E">
      <w:pPr>
        <w:pStyle w:val="normal0"/>
        <w:rPr>
          <w:color w:val="000000"/>
        </w:rPr>
      </w:pPr>
    </w:p>
    <w:p w:rsidR="00C1188E" w:rsidRDefault="00C1188E" w:rsidP="00C1188E">
      <w:pPr>
        <w:pStyle w:val="normal0"/>
        <w:rPr>
          <w:color w:val="000000"/>
        </w:rPr>
      </w:pPr>
    </w:p>
    <w:p w:rsidR="00C1188E" w:rsidRDefault="00C1188E" w:rsidP="00C1188E">
      <w:pPr>
        <w:pStyle w:val="normal0"/>
        <w:rPr>
          <w:color w:val="000000"/>
        </w:rPr>
      </w:pPr>
    </w:p>
    <w:p w:rsidR="00C1188E" w:rsidRDefault="00C1188E" w:rsidP="00C1188E">
      <w:pPr>
        <w:pStyle w:val="normal0"/>
        <w:rPr>
          <w:color w:val="000000"/>
        </w:rPr>
      </w:pPr>
    </w:p>
    <w:p w:rsidR="00C1188E" w:rsidRDefault="00C1188E" w:rsidP="00C1188E">
      <w:pPr>
        <w:pStyle w:val="normal0"/>
        <w:rPr>
          <w:color w:val="000000"/>
        </w:rPr>
      </w:pPr>
    </w:p>
    <w:p w:rsidR="00C1188E" w:rsidRDefault="00C1188E" w:rsidP="00C1188E">
      <w:pPr>
        <w:pStyle w:val="normal0"/>
        <w:rPr>
          <w:color w:val="000000"/>
        </w:rPr>
      </w:pPr>
    </w:p>
    <w:p w:rsidR="00C1188E" w:rsidRDefault="00C1188E" w:rsidP="00C1188E">
      <w:pPr>
        <w:pStyle w:val="normal0"/>
        <w:rPr>
          <w:color w:val="000000"/>
        </w:rPr>
      </w:pPr>
    </w:p>
    <w:p w:rsidR="00C1188E" w:rsidRDefault="00C1188E" w:rsidP="00C1188E">
      <w:pPr>
        <w:pStyle w:val="normal0"/>
        <w:jc w:val="center"/>
        <w:rPr>
          <w:rFonts w:ascii="Times New Roman" w:eastAsia="Times New Roman" w:hAnsi="Times New Roman" w:cs="Times New Roman"/>
          <w:b/>
          <w:color w:val="000000"/>
          <w:sz w:val="24"/>
          <w:szCs w:val="24"/>
        </w:rPr>
      </w:pPr>
    </w:p>
    <w:p w:rsidR="00C1188E" w:rsidRDefault="00C1188E" w:rsidP="00C1188E">
      <w:pPr>
        <w:pStyle w:val="normal0"/>
        <w:jc w:val="center"/>
        <w:rPr>
          <w:rFonts w:ascii="Times New Roman" w:eastAsia="Times New Roman" w:hAnsi="Times New Roman" w:cs="Times New Roman"/>
          <w:b/>
          <w:color w:val="000000"/>
          <w:sz w:val="24"/>
          <w:szCs w:val="24"/>
        </w:rPr>
      </w:pPr>
    </w:p>
    <w:p w:rsidR="00C1188E" w:rsidRDefault="00C1188E" w:rsidP="00C1188E">
      <w:pPr>
        <w:pStyle w:val="normal0"/>
        <w:jc w:val="center"/>
        <w:rPr>
          <w:rFonts w:ascii="Times New Roman" w:eastAsia="Times New Roman" w:hAnsi="Times New Roman" w:cs="Times New Roman"/>
          <w:b/>
          <w:color w:val="000000"/>
          <w:sz w:val="24"/>
          <w:szCs w:val="24"/>
        </w:rPr>
      </w:pPr>
    </w:p>
    <w:p w:rsidR="00C1188E" w:rsidRDefault="00C1188E" w:rsidP="00C1188E">
      <w:pPr>
        <w:pStyle w:val="normal0"/>
        <w:jc w:val="center"/>
        <w:rPr>
          <w:rFonts w:ascii="Times New Roman" w:eastAsia="Times New Roman" w:hAnsi="Times New Roman" w:cs="Times New Roman"/>
          <w:b/>
          <w:color w:val="000000"/>
          <w:sz w:val="24"/>
          <w:szCs w:val="24"/>
        </w:rPr>
      </w:pPr>
    </w:p>
    <w:p w:rsidR="00C1188E" w:rsidRDefault="00C1188E" w:rsidP="00C1188E">
      <w:pPr>
        <w:pStyle w:val="normal0"/>
        <w:jc w:val="center"/>
        <w:rPr>
          <w:rFonts w:ascii="Times New Roman" w:eastAsia="Times New Roman" w:hAnsi="Times New Roman" w:cs="Times New Roman"/>
          <w:b/>
          <w:color w:val="000000"/>
          <w:sz w:val="24"/>
          <w:szCs w:val="24"/>
        </w:rPr>
      </w:pPr>
    </w:p>
    <w:p w:rsidR="00C1188E" w:rsidRDefault="00C1188E" w:rsidP="00C1188E">
      <w:pPr>
        <w:pStyle w:val="normal0"/>
        <w:jc w:val="center"/>
        <w:rPr>
          <w:rFonts w:ascii="Times New Roman" w:eastAsia="Times New Roman" w:hAnsi="Times New Roman" w:cs="Times New Roman"/>
          <w:b/>
          <w:color w:val="000000"/>
          <w:sz w:val="24"/>
          <w:szCs w:val="24"/>
        </w:rPr>
      </w:pPr>
    </w:p>
    <w:p w:rsidR="00C1188E" w:rsidRDefault="00C1188E" w:rsidP="00C1188E">
      <w:pPr>
        <w:pStyle w:val="normal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FUNDAMENTOS</w:t>
      </w:r>
    </w:p>
    <w:p w:rsidR="00C1188E" w:rsidRDefault="00C1188E" w:rsidP="00C1188E">
      <w:pPr>
        <w:pStyle w:val="normal0"/>
        <w:rPr>
          <w:rFonts w:ascii="Times New Roman" w:eastAsia="Times New Roman" w:hAnsi="Times New Roman" w:cs="Times New Roman"/>
          <w:b/>
          <w:color w:val="000000"/>
          <w:sz w:val="24"/>
          <w:szCs w:val="24"/>
        </w:rPr>
      </w:pPr>
    </w:p>
    <w:p w:rsidR="00C1188E" w:rsidRDefault="00C1188E" w:rsidP="00C1188E">
      <w:pPr>
        <w:pStyle w:val="normal0"/>
        <w:rPr>
          <w:rFonts w:ascii="Times New Roman" w:eastAsia="Times New Roman" w:hAnsi="Times New Roman" w:cs="Times New Roman"/>
          <w:color w:val="000000"/>
          <w:sz w:val="24"/>
          <w:szCs w:val="24"/>
        </w:rPr>
      </w:pPr>
    </w:p>
    <w:p w:rsidR="00C1188E" w:rsidRDefault="00C1188E" w:rsidP="00C1188E">
      <w:pPr>
        <w:pStyle w:val="norm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Señor Presidente: </w:t>
      </w:r>
    </w:p>
    <w:p w:rsidR="00C1188E" w:rsidRDefault="00C1188E" w:rsidP="00C1188E">
      <w:pPr>
        <w:pStyle w:val="normal0"/>
        <w:rPr>
          <w:rFonts w:ascii="Times New Roman" w:eastAsia="Times New Roman" w:hAnsi="Times New Roman" w:cs="Times New Roman"/>
          <w:color w:val="000000"/>
          <w:sz w:val="24"/>
          <w:szCs w:val="24"/>
        </w:rPr>
      </w:pPr>
    </w:p>
    <w:p w:rsidR="00C1188E" w:rsidRDefault="00C1188E" w:rsidP="00C1188E">
      <w:pPr>
        <w:pStyle w:val="norm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Hijo de inmigrantes italianos, Emilio Pio Siri nació el 5 de mayo de 1882 en Mercedes, provincia de Buenos Aires, lugar donde se instaló su familia para dedicarse a administrar un pequeño negocio de joyería y relojería.</w:t>
      </w:r>
    </w:p>
    <w:p w:rsidR="00C1188E" w:rsidRDefault="00C1188E" w:rsidP="00C1188E">
      <w:pPr>
        <w:pStyle w:val="normal0"/>
        <w:jc w:val="both"/>
        <w:rPr>
          <w:rFonts w:ascii="Times New Roman" w:eastAsia="Times New Roman" w:hAnsi="Times New Roman" w:cs="Times New Roman"/>
          <w:color w:val="000000"/>
          <w:sz w:val="24"/>
          <w:szCs w:val="24"/>
        </w:rPr>
      </w:pPr>
    </w:p>
    <w:p w:rsidR="00C1188E" w:rsidRDefault="00C1188E" w:rsidP="00C1188E">
      <w:pPr>
        <w:pStyle w:val="norm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Luego de estudiar en el Colegio del Salvador de la Ciudad de Buenos Aires, en 1901 ingresó a la Facultad de Ciencias Médicas de la Universidad de Buenos Aires,  donde se graduó en el año 1908 con el título de doctor en medicina. </w:t>
      </w:r>
    </w:p>
    <w:p w:rsidR="00C1188E" w:rsidRDefault="00C1188E" w:rsidP="00C1188E">
      <w:pPr>
        <w:pStyle w:val="normal0"/>
        <w:jc w:val="both"/>
        <w:rPr>
          <w:rFonts w:ascii="Times New Roman" w:eastAsia="Times New Roman" w:hAnsi="Times New Roman" w:cs="Times New Roman"/>
          <w:color w:val="000000"/>
          <w:sz w:val="24"/>
          <w:szCs w:val="24"/>
        </w:rPr>
      </w:pPr>
    </w:p>
    <w:p w:rsidR="00C1188E" w:rsidRDefault="00C1188E" w:rsidP="00C1188E">
      <w:pPr>
        <w:pStyle w:val="norm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 año siguiente, se casó con Delia González de la Vega, con quien tuvo dos hijos, Atilio y Etelia.</w:t>
      </w:r>
    </w:p>
    <w:p w:rsidR="00C1188E" w:rsidRDefault="00C1188E" w:rsidP="00C1188E">
      <w:pPr>
        <w:pStyle w:val="normal0"/>
        <w:jc w:val="both"/>
        <w:rPr>
          <w:rFonts w:ascii="Times New Roman" w:eastAsia="Times New Roman" w:hAnsi="Times New Roman" w:cs="Times New Roman"/>
          <w:color w:val="000000"/>
          <w:sz w:val="24"/>
          <w:szCs w:val="24"/>
        </w:rPr>
      </w:pPr>
    </w:p>
    <w:p w:rsidR="00C1188E" w:rsidRDefault="00C1188E" w:rsidP="00C1188E">
      <w:pPr>
        <w:pStyle w:val="norm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 el ámbito profesional el Dr. Emilio Siri desarrolló una importante carrera con epicentro en Mercedes, donde creó el dispensario, la maternidad y el servicio de cardiología del hospital local, al que luego dirigió en 1927, 1940 y entre 1944 y 1946. En 1927 fundó una escuela de enfermería y tuvo un rol preponderante en la creación del Colegio Médico de la ciudad, en 1932. A su vez, atendió en su consultorio particular, prestó servicios en importantes instituciones mutuales y ejerció como médico legista. Fue profesor del Colegio Nacional y publicó varios artículos en la reconocida revista científica La Semana Médica. Formó parte de destacadas entidades de su ciudad, como la Biblioteca Sarmiento y el Club Mercedes. Todo ello le granjeó un gran prestigio en el círculo médico local, que luego se hizo extensivo a todos los ámbitos sociales de Mercedes.</w:t>
      </w:r>
    </w:p>
    <w:p w:rsidR="00C1188E" w:rsidRDefault="00C1188E" w:rsidP="00C1188E">
      <w:pPr>
        <w:pStyle w:val="normal0"/>
        <w:jc w:val="both"/>
        <w:rPr>
          <w:rFonts w:ascii="Times New Roman" w:eastAsia="Times New Roman" w:hAnsi="Times New Roman" w:cs="Times New Roman"/>
          <w:color w:val="000000"/>
          <w:sz w:val="24"/>
          <w:szCs w:val="24"/>
        </w:rPr>
      </w:pPr>
    </w:p>
    <w:p w:rsidR="00C1188E" w:rsidRDefault="00C1188E" w:rsidP="00C1188E">
      <w:pPr>
        <w:pStyle w:val="norm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 trayectoria política comenzó en la Unión Cívica Radical, alcanzando su primer cargo a principios de la década de 1920, al asumir la presidencia del comité de Mercedes. En el año 1924, ingresó al Congreso Nacional como diputado por esa fuerza política en representación de la provincia de Buenos Aires, siendo reelegido en 1928. Paralelamente, también asumió una banca en el Concejo Deliberante mercedino en 1925, y unos meses después -con el crucial apoyo de Hipólito Yrigoyen- fue elegido intendente de esa ciudad.</w:t>
      </w:r>
    </w:p>
    <w:p w:rsidR="00C1188E" w:rsidRDefault="00C1188E" w:rsidP="00C1188E">
      <w:pPr>
        <w:pStyle w:val="normal0"/>
        <w:jc w:val="both"/>
        <w:rPr>
          <w:rFonts w:ascii="Times New Roman" w:eastAsia="Times New Roman" w:hAnsi="Times New Roman" w:cs="Times New Roman"/>
          <w:color w:val="000000"/>
          <w:sz w:val="24"/>
          <w:szCs w:val="24"/>
        </w:rPr>
      </w:pPr>
    </w:p>
    <w:p w:rsidR="00C1188E" w:rsidRDefault="00C1188E" w:rsidP="00C1188E">
      <w:pPr>
        <w:pStyle w:val="norm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 1930, con el golpe de Estado encabezado por José Félix Uriburu, se abrió una nueva etapa política en nuestro país, la cual se prolongaría hasta la revolución del 4 de junio de 1943. Denominada “restauración conservadora” o -más popularmente- "Década Infame", este período se caracterizó por la instauración de un sistema político dominado por el fraude electoral y la corrupción como forma de mantención de las elites tradicionales en el poder.</w:t>
      </w:r>
    </w:p>
    <w:p w:rsidR="00C1188E" w:rsidRDefault="00C1188E" w:rsidP="00C1188E">
      <w:pPr>
        <w:pStyle w:val="normal0"/>
        <w:jc w:val="both"/>
        <w:rPr>
          <w:rFonts w:ascii="Times New Roman" w:eastAsia="Times New Roman" w:hAnsi="Times New Roman" w:cs="Times New Roman"/>
          <w:color w:val="000000"/>
          <w:sz w:val="24"/>
          <w:szCs w:val="24"/>
        </w:rPr>
      </w:pPr>
    </w:p>
    <w:p w:rsidR="00C1188E" w:rsidRDefault="00C1188E" w:rsidP="00C1188E">
      <w:pPr>
        <w:pStyle w:val="norm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Durante estos años, Siri comenzó un paulatino distanciamiento de la UCR. Se enfrentó a las autoridades nacionales y provinciales del partido por haber adherido a la política electoralista impulsada por Marcelo T. de Alvear, a la cual vio como una forma de legitimación del fraude y los atropellos llevados a cabo por los conservadores.</w:t>
      </w:r>
    </w:p>
    <w:p w:rsidR="00C1188E" w:rsidRDefault="00C1188E" w:rsidP="00C1188E">
      <w:pPr>
        <w:pStyle w:val="normal0"/>
        <w:jc w:val="both"/>
        <w:rPr>
          <w:rFonts w:ascii="Times New Roman" w:eastAsia="Times New Roman" w:hAnsi="Times New Roman" w:cs="Times New Roman"/>
          <w:color w:val="000000"/>
          <w:sz w:val="24"/>
          <w:szCs w:val="24"/>
        </w:rPr>
      </w:pPr>
    </w:p>
    <w:p w:rsidR="00C1188E" w:rsidRDefault="00C1188E" w:rsidP="00C1188E">
      <w:pPr>
        <w:pStyle w:val="norm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 la llegada del gobierno juniano y la aparición de Juan D. Perón en la escena pública, Emilio Siri pasó a colaborar con las nuevas autoridades. Su creciente cercanía al espacio político que se fue formando en torno al entonces joven Coronel Perón lo llevó a que, tras los hechos del 17 de octubre de 1945 y consolidada la candidatura presidencial de éste, se sumara a un grupo de radicales escindidos del núcleo oficial del partido para crear la UCR Junta Renovadora.</w:t>
      </w:r>
    </w:p>
    <w:p w:rsidR="00C1188E" w:rsidRDefault="00C1188E" w:rsidP="00C1188E">
      <w:pPr>
        <w:pStyle w:val="normal0"/>
        <w:jc w:val="both"/>
        <w:rPr>
          <w:rFonts w:ascii="Times New Roman" w:eastAsia="Times New Roman" w:hAnsi="Times New Roman" w:cs="Times New Roman"/>
          <w:color w:val="000000"/>
          <w:sz w:val="24"/>
          <w:szCs w:val="24"/>
        </w:rPr>
      </w:pPr>
    </w:p>
    <w:p w:rsidR="00C1188E" w:rsidRDefault="00C1188E" w:rsidP="00C1188E">
      <w:pPr>
        <w:pStyle w:val="norm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Las elecciones fijadas para el 24 de febrero de 1946 dieron el triunfo a la fórmula Juan Perón–Hortensio Quijano  que se impuso con aproximadamente el 52% de los votos sobre el binomio José P. Tamborini–Enrique Mosca, que obtuvo el 42%. La victoria peronista también se replicó en la Capital Federal, donde la lista encabezada por Perón triunfó con el 53,83% de los votos contra el 46,17% obtenido por la Unión Democrática.</w:t>
      </w:r>
    </w:p>
    <w:p w:rsidR="00C1188E" w:rsidRDefault="00C1188E" w:rsidP="00C1188E">
      <w:pPr>
        <w:pStyle w:val="normal0"/>
        <w:jc w:val="both"/>
        <w:rPr>
          <w:rFonts w:ascii="Times New Roman" w:eastAsia="Times New Roman" w:hAnsi="Times New Roman" w:cs="Times New Roman"/>
          <w:color w:val="000000"/>
          <w:sz w:val="24"/>
          <w:szCs w:val="24"/>
        </w:rPr>
      </w:pPr>
    </w:p>
    <w:p w:rsidR="00C1188E" w:rsidRDefault="00C1188E" w:rsidP="00C1188E">
      <w:pPr>
        <w:pStyle w:val="norm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Emilio Siri fue oficialmente designado como intendente municipal el 4 de junio de 1946 por medio del Decreto N° 4/1946, que llevó las firmas de Juan D. Perón y Ángel Borlenghi, ministro del Interior. Bajo su intendencia, se replicaron algunas de las políticas públicas llevadas a cabo por el peronismo desde el gobierno nacional. </w:t>
      </w:r>
    </w:p>
    <w:p w:rsidR="00C1188E" w:rsidRDefault="00C1188E" w:rsidP="00C1188E">
      <w:pPr>
        <w:pStyle w:val="normal0"/>
        <w:jc w:val="both"/>
        <w:rPr>
          <w:rFonts w:ascii="Times New Roman" w:eastAsia="Times New Roman" w:hAnsi="Times New Roman" w:cs="Times New Roman"/>
          <w:color w:val="000000"/>
          <w:sz w:val="24"/>
          <w:szCs w:val="24"/>
        </w:rPr>
      </w:pPr>
    </w:p>
    <w:p w:rsidR="00C1188E" w:rsidRDefault="00C1188E" w:rsidP="00C1188E">
      <w:pPr>
        <w:pStyle w:val="norm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En este contexto, la intendencia porteña amplió sus áreas de intervención, asumiendo la competencia sobre temas que antes estaban ausentes o desplazados de los ejes centrales de la acción comunal. De ese modo, el problema de la vivienda popular y el impulso al desarrollo del deporte, fueron  tomados como propios, creándose a tal fin la Dirección Municipal de la Vivienda y la Dirección Municipal del Deporte. </w:t>
      </w:r>
    </w:p>
    <w:p w:rsidR="00C1188E" w:rsidRDefault="00C1188E" w:rsidP="00C1188E">
      <w:pPr>
        <w:pStyle w:val="normal0"/>
        <w:jc w:val="both"/>
        <w:rPr>
          <w:rFonts w:ascii="Times New Roman" w:eastAsia="Times New Roman" w:hAnsi="Times New Roman" w:cs="Times New Roman"/>
          <w:color w:val="000000"/>
          <w:sz w:val="24"/>
          <w:szCs w:val="24"/>
        </w:rPr>
      </w:pPr>
    </w:p>
    <w:p w:rsidR="00C1188E" w:rsidRDefault="00C1188E" w:rsidP="00C1188E">
      <w:pPr>
        <w:pStyle w:val="norm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su vez se promulgaron importantes mejoras para los empleado públicos municipales, las cuales fueron desde aumentos salariales y la sanción de un nuevo escalafón para la actividad hasta mejoras en las condiciones laborales y las jubilaciones del personal.</w:t>
      </w:r>
    </w:p>
    <w:p w:rsidR="00C1188E" w:rsidRDefault="00C1188E" w:rsidP="00C1188E">
      <w:pPr>
        <w:pStyle w:val="normal0"/>
        <w:jc w:val="both"/>
        <w:rPr>
          <w:rFonts w:ascii="Times New Roman" w:eastAsia="Times New Roman" w:hAnsi="Times New Roman" w:cs="Times New Roman"/>
          <w:color w:val="000000"/>
          <w:sz w:val="24"/>
          <w:szCs w:val="24"/>
        </w:rPr>
      </w:pPr>
    </w:p>
    <w:p w:rsidR="00C1188E" w:rsidRDefault="00C1188E" w:rsidP="00C1188E">
      <w:pPr>
        <w:pStyle w:val="norm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También se desplegó una importante cantidad de obras, principalmente a partir de la sanción del Plan de Obras Municipales 1947-1951 –también conocido como Plan Quinquenal de Gobierno Edilicio– el cual alcanzó un valor total de 723 millones de pesos y abarcó diferentes áreas, como desarrollo urbano, abastecimiento, salud pública e higiene y asistencia social. Entre las obras más destacadas se encontraban: a) ampliación de espacios verdes; b) expansión y renovación del alumbrado público; c) extensión de la Avenida 9 de Julio; d) remodelación de los cementerios de Chacarita, Flores y Recoleta; e) mejoras en los mercados municipales; y f) construcción del Mercado del Plata.</w:t>
      </w:r>
    </w:p>
    <w:p w:rsidR="00C1188E" w:rsidRDefault="00C1188E" w:rsidP="00C1188E">
      <w:pPr>
        <w:pStyle w:val="normal0"/>
        <w:jc w:val="both"/>
        <w:rPr>
          <w:rFonts w:ascii="Times New Roman" w:eastAsia="Times New Roman" w:hAnsi="Times New Roman" w:cs="Times New Roman"/>
          <w:color w:val="000000"/>
          <w:sz w:val="24"/>
          <w:szCs w:val="24"/>
        </w:rPr>
      </w:pPr>
    </w:p>
    <w:p w:rsidR="00C1188E" w:rsidRDefault="00C1188E" w:rsidP="00C1188E">
      <w:pPr>
        <w:pStyle w:val="norm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expansión del sistema hospitalario alcanzó niveles nunca antes vistos, con la construcción del Sanatorio Municipal, el Instituto de Ortodoncia y Odontología Infantil e Instituto de Odontología y el nuevo Hospital Vélez Sarsfield. Asimismo se retomaron las obras del “preventorio para tuberculosos Montarcé Martínez” en la calle Pedro Goyena -actual Hospital de Quemados- y se inauguró un Lactario en el barrio de La Boca.</w:t>
      </w:r>
    </w:p>
    <w:p w:rsidR="00C1188E" w:rsidRDefault="00C1188E" w:rsidP="00C1188E">
      <w:pPr>
        <w:pStyle w:val="normal0"/>
        <w:jc w:val="both"/>
        <w:rPr>
          <w:rFonts w:ascii="Times New Roman" w:eastAsia="Times New Roman" w:hAnsi="Times New Roman" w:cs="Times New Roman"/>
          <w:color w:val="000000"/>
          <w:sz w:val="24"/>
          <w:szCs w:val="24"/>
        </w:rPr>
      </w:pPr>
    </w:p>
    <w:p w:rsidR="00C1188E" w:rsidRDefault="00C1188E" w:rsidP="00C1188E">
      <w:pPr>
        <w:pStyle w:val="norm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Otra de las áreas donde se destacó esta intendencia municipal fue en el ámbito de la vivienda. Durante su gestión se construyeron varios barrios: a) “1 de Marzo”, conjunto de chalets unifamiliares de estilo californiano -entre las actuales calles Crisólogo Larralde, Galván, Miller y Av. Ricardo Balbín- capaces de albergar a 900 personas; b) “17 de Octubre”, también conocido como “Barrio Graffa” por su cercanía a dicha fábrica textil, con casi 1000 departamentos con una capacidad para aproximadamente 4000 personas, se levantó en el predio ubicado entre Av. Constituyentes, Av. General Paz, Ezeiza, Bolivia y Álvarez del Prado; c) “Pabellones Ambrosetti y Acoyte”, en la zona de Caballito, destinados a obreros y empleados municipales de los escalafones más bajos, priorizando a aquellos con mayor cantidad de hijos; d) “Monobloque General Belgrano” -ubicado en Virrey del Pino y Migueletes-, fue pensado para albergar a cerca de 600 familias distribuidas en 120 departamentos.</w:t>
      </w:r>
    </w:p>
    <w:p w:rsidR="00C1188E" w:rsidRDefault="00C1188E" w:rsidP="00C1188E">
      <w:pPr>
        <w:pStyle w:val="normal0"/>
        <w:jc w:val="both"/>
        <w:rPr>
          <w:rFonts w:ascii="Times New Roman" w:eastAsia="Times New Roman" w:hAnsi="Times New Roman" w:cs="Times New Roman"/>
          <w:color w:val="000000"/>
          <w:sz w:val="24"/>
          <w:szCs w:val="24"/>
        </w:rPr>
      </w:pPr>
    </w:p>
    <w:p w:rsidR="00C1188E" w:rsidRDefault="00C1188E" w:rsidP="00C1188E">
      <w:pPr>
        <w:pStyle w:val="norm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Sin embargo, es el conjunto Los Perales uno de los más emblemáticos de los proyectos de vivienda construidos. Ubicado en Mataderos, contó con cerca de 1.000 departamentos capaces de albergar aproximadamente 5.000 personas. En términos cuantitativos fue el barrio más importante construido durante la primera presidencia de Perón, tanto por la superficie ocupada como por la cantidad de viviendas. Su fisonomía, austera y despojada, adscripta al modernismo, se inscribió en los modelos de vivienda construidos </w:t>
      </w:r>
      <w:r>
        <w:rPr>
          <w:rFonts w:ascii="Times New Roman" w:eastAsia="Times New Roman" w:hAnsi="Times New Roman" w:cs="Times New Roman"/>
          <w:color w:val="000000"/>
          <w:sz w:val="24"/>
          <w:szCs w:val="24"/>
        </w:rPr>
        <w:lastRenderedPageBreak/>
        <w:t>en la Europa de entreguerras. El barrio fue equipado con importantes obras de infraestructura, como un centro cívico y una pileta de destacadas dimensiones; a su vez, las calles interiores fueron asfaltadas y recibió grandes inversiones en alumbrado, jardinería y parquizado. Cada bloque estuvo compuesto por varias viviendas unifamiliares, dotadas con las mayores mejoras disponibles.</w:t>
      </w:r>
    </w:p>
    <w:p w:rsidR="00C1188E" w:rsidRDefault="00C1188E" w:rsidP="00C1188E">
      <w:pPr>
        <w:pStyle w:val="normal0"/>
        <w:jc w:val="both"/>
        <w:rPr>
          <w:rFonts w:ascii="Times New Roman" w:eastAsia="Times New Roman" w:hAnsi="Times New Roman" w:cs="Times New Roman"/>
          <w:color w:val="000000"/>
          <w:sz w:val="24"/>
          <w:szCs w:val="24"/>
        </w:rPr>
      </w:pPr>
    </w:p>
    <w:p w:rsidR="00C1188E" w:rsidRDefault="00C1188E" w:rsidP="00C1188E">
      <w:pPr>
        <w:pStyle w:val="norm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 noviembre 1949, Emilio Siri dejó el cargo de intendente municipal de la Capital Federal para asumir como vicepresidente del Banco Hipotecario Nacional, cargo que ocupó hasta 1955.</w:t>
      </w:r>
    </w:p>
    <w:p w:rsidR="00C1188E" w:rsidRDefault="00C1188E" w:rsidP="00C1188E">
      <w:pPr>
        <w:pStyle w:val="normal0"/>
        <w:jc w:val="both"/>
        <w:rPr>
          <w:rFonts w:ascii="Times New Roman" w:eastAsia="Times New Roman" w:hAnsi="Times New Roman" w:cs="Times New Roman"/>
          <w:color w:val="000000"/>
          <w:sz w:val="24"/>
          <w:szCs w:val="24"/>
        </w:rPr>
      </w:pPr>
    </w:p>
    <w:p w:rsidR="00C1188E" w:rsidRDefault="00C1188E" w:rsidP="00C1188E">
      <w:pPr>
        <w:pStyle w:val="normal0"/>
        <w:jc w:val="both"/>
        <w:rPr>
          <w:rFonts w:ascii="Times New Roman" w:eastAsia="Times New Roman" w:hAnsi="Times New Roman" w:cs="Times New Roman"/>
          <w:color w:val="000000"/>
          <w:sz w:val="24"/>
          <w:szCs w:val="24"/>
        </w:rPr>
      </w:pPr>
      <w:bookmarkStart w:id="0" w:name="_gjdgxs"/>
      <w:bookmarkEnd w:id="0"/>
      <w:r>
        <w:rPr>
          <w:rFonts w:ascii="Times New Roman" w:eastAsia="Times New Roman" w:hAnsi="Times New Roman" w:cs="Times New Roman"/>
          <w:color w:val="000000"/>
          <w:sz w:val="24"/>
          <w:szCs w:val="24"/>
        </w:rPr>
        <w:t>En este sentido, consideramos sumamente valioso que la Legislatura de la Ciudad Autónoma de Buenos Aires, en la tarea de homenajear a quienes han procurado desde la intendencia de nuestra Ciudad una amplia obra de mejoramiento social en favor de los trabajadores, reconozca en el espacio público la gestión del Dr. Siri a través de una placa que conmemore una de sus obras públicas más destacadas.</w:t>
      </w:r>
    </w:p>
    <w:p w:rsidR="00C1188E" w:rsidRDefault="00C1188E" w:rsidP="00C1188E">
      <w:pPr>
        <w:pStyle w:val="normal0"/>
        <w:jc w:val="both"/>
        <w:rPr>
          <w:rFonts w:ascii="Times New Roman" w:eastAsia="Times New Roman" w:hAnsi="Times New Roman" w:cs="Times New Roman"/>
          <w:color w:val="000000"/>
          <w:sz w:val="24"/>
          <w:szCs w:val="24"/>
        </w:rPr>
      </w:pPr>
    </w:p>
    <w:p w:rsidR="00C1188E" w:rsidRDefault="00C1188E" w:rsidP="00C1188E">
      <w:pPr>
        <w:pStyle w:val="normal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Por todo lo expuesto, solicito la aprobación del presente Proyecto de Resolución.</w:t>
      </w: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23F6" w:rsidRDefault="00CD23F6">
      <w:r>
        <w:separator/>
      </w:r>
    </w:p>
  </w:endnote>
  <w:endnote w:type="continuationSeparator" w:id="1">
    <w:p w:rsidR="00CD23F6" w:rsidRDefault="00CD23F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C1188E" w:rsidRPr="00C1188E">
        <w:rPr>
          <w:noProof/>
          <w:color w:val="333333"/>
          <w:sz w:val="20"/>
        </w:rPr>
        <w:t>22/09/2022 14:37:00</w:t>
      </w:r>
    </w:fldSimple>
    <w:r w:rsidRPr="001C19C4">
      <w:rPr>
        <w:color w:val="333333"/>
        <w:sz w:val="20"/>
      </w:rPr>
      <w:t xml:space="preserve">  -  Cantidad de caracteres: </w:t>
    </w:r>
    <w:fldSimple w:instr=" NUMCHARS  \* MERGEFORMAT ">
      <w:r w:rsidR="00C1188E" w:rsidRPr="00C1188E">
        <w:rPr>
          <w:noProof/>
          <w:color w:val="333333"/>
          <w:sz w:val="20"/>
        </w:rPr>
        <w:t>7320</w:t>
      </w:r>
    </w:fldSimple>
    <w:r w:rsidRPr="001C19C4">
      <w:rPr>
        <w:color w:val="333333"/>
        <w:sz w:val="20"/>
      </w:rPr>
      <w:t xml:space="preserve"> - Cantidad de palabras: </w:t>
    </w:r>
    <w:fldSimple w:instr=" NUMWORDS  \* MERGEFORMAT ">
      <w:r w:rsidR="00C1188E" w:rsidRPr="00C1188E">
        <w:rPr>
          <w:noProof/>
          <w:color w:val="333333"/>
          <w:sz w:val="20"/>
        </w:rPr>
        <w:t>1390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01FEE" w:rsidRPr="001C19C4">
      <w:rPr>
        <w:rStyle w:val="Nmerodepgina"/>
        <w:color w:val="333333"/>
      </w:rPr>
      <w:fldChar w:fldCharType="begin"/>
    </w:r>
    <w:r w:rsidRPr="001C19C4">
      <w:rPr>
        <w:rStyle w:val="Nmerodepgina"/>
        <w:color w:val="333333"/>
      </w:rPr>
      <w:instrText xml:space="preserve"> PAGE </w:instrText>
    </w:r>
    <w:r w:rsidR="00D01FEE" w:rsidRPr="001C19C4">
      <w:rPr>
        <w:rStyle w:val="Nmerodepgina"/>
        <w:color w:val="333333"/>
      </w:rPr>
      <w:fldChar w:fldCharType="separate"/>
    </w:r>
    <w:r w:rsidR="00C1188E">
      <w:rPr>
        <w:rStyle w:val="Nmerodepgina"/>
        <w:noProof/>
        <w:color w:val="333333"/>
      </w:rPr>
      <w:t>1</w:t>
    </w:r>
    <w:r w:rsidR="00D01FEE" w:rsidRPr="001C19C4">
      <w:rPr>
        <w:rStyle w:val="Nmerodepgina"/>
        <w:color w:val="333333"/>
      </w:rPr>
      <w:fldChar w:fldCharType="end"/>
    </w:r>
    <w:r w:rsidRPr="001C19C4">
      <w:rPr>
        <w:rStyle w:val="Nmerodepgina"/>
        <w:color w:val="333333"/>
      </w:rPr>
      <w:t>/</w:t>
    </w:r>
    <w:fldSimple w:instr=" NUMPAGES  \* MERGEFORMAT ">
      <w:r w:rsidR="00C1188E" w:rsidRPr="00C1188E">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23F6" w:rsidRDefault="00CD23F6">
      <w:r>
        <w:separator/>
      </w:r>
    </w:p>
  </w:footnote>
  <w:footnote w:type="continuationSeparator" w:id="1">
    <w:p w:rsidR="00CD23F6" w:rsidRDefault="00CD23F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166EC3"/>
    <w:rsid w:val="00026430"/>
    <w:rsid w:val="00030DF5"/>
    <w:rsid w:val="0003615C"/>
    <w:rsid w:val="000376AB"/>
    <w:rsid w:val="00043882"/>
    <w:rsid w:val="00062864"/>
    <w:rsid w:val="00067370"/>
    <w:rsid w:val="000713D7"/>
    <w:rsid w:val="00071CFB"/>
    <w:rsid w:val="00077DAC"/>
    <w:rsid w:val="00080837"/>
    <w:rsid w:val="00081FFF"/>
    <w:rsid w:val="00085BC9"/>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6EC3"/>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DA1"/>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1188E"/>
    <w:rsid w:val="00C26F53"/>
    <w:rsid w:val="00C330CB"/>
    <w:rsid w:val="00C3675D"/>
    <w:rsid w:val="00C419C1"/>
    <w:rsid w:val="00C51E49"/>
    <w:rsid w:val="00C521F9"/>
    <w:rsid w:val="00C63351"/>
    <w:rsid w:val="00C71253"/>
    <w:rsid w:val="00C734F9"/>
    <w:rsid w:val="00C87365"/>
    <w:rsid w:val="00C93FF6"/>
    <w:rsid w:val="00CC20B0"/>
    <w:rsid w:val="00CD23F6"/>
    <w:rsid w:val="00CE163F"/>
    <w:rsid w:val="00D01FEE"/>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C1188E"/>
    <w:rPr>
      <w:rFonts w:ascii="Calibri" w:eastAsia="Calibri" w:hAnsi="Calibri" w:cs="Calibri"/>
      <w:lang w:val="es-MX" w:eastAsia="es-ES"/>
    </w:rPr>
  </w:style>
</w:styles>
</file>

<file path=word/webSettings.xml><?xml version="1.0" encoding="utf-8"?>
<w:webSettings xmlns:r="http://schemas.openxmlformats.org/officeDocument/2006/relationships" xmlns:w="http://schemas.openxmlformats.org/wordprocessingml/2006/main">
  <w:divs>
    <w:div w:id="1850871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GSI\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1</TotalTime>
  <Pages>4</Pages>
  <Words>1390</Words>
  <Characters>7320</Characters>
  <Application>Microsoft Office Word</Application>
  <DocSecurity>0</DocSecurity>
  <Lines>177</Lines>
  <Paragraphs>25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8691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DGSI</dc:creator>
  <cp:lastModifiedBy>clneira</cp:lastModifiedBy>
  <cp:revision>2</cp:revision>
  <cp:lastPrinted>2020-02-28T17:24:00Z</cp:lastPrinted>
  <dcterms:created xsi:type="dcterms:W3CDTF">2022-09-30T18:30:00Z</dcterms:created>
  <dcterms:modified xsi:type="dcterms:W3CDTF">2022-09-30T18:30:00Z</dcterms:modified>
</cp:coreProperties>
</file>