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EC3" w:rsidRPr="00D83EC3" w:rsidRDefault="00D83EC3" w:rsidP="00081FFF">
      <w:pPr>
        <w:rPr>
          <w:lang w:val="es-MX"/>
        </w:rPr>
      </w:pPr>
    </w:p>
    <w:p w:rsidR="00D83EC3" w:rsidRPr="00D83EC3" w:rsidRDefault="00D83EC3" w:rsidP="00D83EC3">
      <w:pPr>
        <w:jc w:val="center"/>
        <w:rPr>
          <w:b/>
          <w:lang w:val="es-MX"/>
        </w:rPr>
      </w:pPr>
      <w:bookmarkStart w:id="0" w:name="PDeclaración"/>
      <w:bookmarkEnd w:id="0"/>
      <w:r w:rsidRPr="00D83EC3">
        <w:rPr>
          <w:b/>
          <w:lang w:val="es-MX"/>
        </w:rPr>
        <w:t>PROYECTO DE DECLARACIÓN</w:t>
      </w:r>
    </w:p>
    <w:p w:rsidR="00D83EC3" w:rsidRPr="00D83EC3" w:rsidRDefault="00D83EC3" w:rsidP="00D83EC3">
      <w:pPr>
        <w:rPr>
          <w:b/>
          <w:lang w:val="es-MX"/>
        </w:rPr>
      </w:pPr>
    </w:p>
    <w:p w:rsidR="00D83EC3" w:rsidRPr="00C93805" w:rsidRDefault="00D83EC3" w:rsidP="00D83EC3">
      <w:pPr>
        <w:rPr>
          <w:szCs w:val="24"/>
        </w:rPr>
      </w:pPr>
      <w:r w:rsidRPr="00C93805">
        <w:rPr>
          <w:szCs w:val="24"/>
        </w:rPr>
        <w:t>Declarase de Interés Cultural el Libro “LA MUJERES EN EL RADICALISMO ARGENTINO 1890-2020</w:t>
      </w:r>
      <w:r>
        <w:rPr>
          <w:szCs w:val="24"/>
        </w:rPr>
        <w:t xml:space="preserve"> Segunda Edición Actualizada</w:t>
      </w:r>
      <w:r w:rsidRPr="00C93805">
        <w:rPr>
          <w:b/>
          <w:bCs/>
          <w:szCs w:val="24"/>
        </w:rPr>
        <w:t>”</w:t>
      </w:r>
      <w:r w:rsidRPr="00C93805">
        <w:rPr>
          <w:szCs w:val="24"/>
        </w:rPr>
        <w:t xml:space="preserve"> cuya autora es la Señora </w:t>
      </w:r>
      <w:proofErr w:type="spellStart"/>
      <w:r w:rsidRPr="00C93805">
        <w:rPr>
          <w:szCs w:val="24"/>
        </w:rPr>
        <w:t>Edit</w:t>
      </w:r>
      <w:proofErr w:type="spellEnd"/>
      <w:r w:rsidRPr="00C93805">
        <w:rPr>
          <w:szCs w:val="24"/>
        </w:rPr>
        <w:t xml:space="preserve"> Rosalía Gallo.</w:t>
      </w:r>
    </w:p>
    <w:p w:rsidR="00D83EC3" w:rsidRPr="00D83EC3" w:rsidRDefault="00D83EC3" w:rsidP="00D83EC3"/>
    <w:p w:rsidR="00D83EC3" w:rsidRPr="00D83EC3" w:rsidRDefault="00D83EC3" w:rsidP="00D83EC3">
      <w:pPr>
        <w:rPr>
          <w:lang w:val="es-MX"/>
        </w:rPr>
      </w:pPr>
    </w:p>
    <w:p w:rsidR="00D83EC3" w:rsidRPr="00D83EC3" w:rsidRDefault="00D83EC3" w:rsidP="00D83EC3">
      <w:pPr>
        <w:rPr>
          <w:lang w:val="es-MX"/>
        </w:rPr>
      </w:pPr>
    </w:p>
    <w:p w:rsidR="00D83EC3" w:rsidRPr="00D83EC3" w:rsidRDefault="00D83EC3" w:rsidP="00D83EC3">
      <w:pPr>
        <w:rPr>
          <w:lang w:val="es-MX"/>
        </w:rPr>
      </w:pPr>
    </w:p>
    <w:p w:rsidR="00D83EC3" w:rsidRDefault="00D83EC3" w:rsidP="00D83EC3">
      <w:pPr>
        <w:rPr>
          <w:lang w:val="es-MX"/>
        </w:rPr>
      </w:pPr>
      <w:r>
        <w:rPr>
          <w:lang w:val="es-MX"/>
        </w:rPr>
        <w:t xml:space="preserve">Señor Presidente: </w:t>
      </w:r>
    </w:p>
    <w:p w:rsidR="00B177FE" w:rsidRPr="00D83EC3" w:rsidRDefault="00B177FE" w:rsidP="00081FFF">
      <w:pPr>
        <w:rPr>
          <w:lang w:val="es-MX"/>
        </w:rPr>
      </w:pPr>
    </w:p>
    <w:p w:rsidR="00D83EC3" w:rsidRPr="00C93805" w:rsidRDefault="00D83EC3" w:rsidP="00D83EC3">
      <w:pPr>
        <w:shd w:val="clear" w:color="auto" w:fill="FFFFFF"/>
        <w:rPr>
          <w:szCs w:val="24"/>
          <w:lang w:eastAsia="es-AR"/>
        </w:rPr>
      </w:pPr>
      <w:r w:rsidRPr="00C93805">
        <w:rPr>
          <w:szCs w:val="24"/>
          <w:lang w:eastAsia="es-AR"/>
        </w:rPr>
        <w:t>Este libro examina la participación de la mujer dentro del marco de la Unión Cívica Radical desde la década de 1890. Relata las luchas para lograr el reconocimiento de los derechos cívicos y la efectiva inclusión en espacios de poder. Muestra el valor de las pioneras, la formación de sus propios comités, la resistencia ante las dictaduras, los comienzos de la organización femenina en la estructura partidaria, la aprobación de la ley que les permitió elegir y ser elegidas, y el modo en que las protagonistas debieron sortear enormes dificultades para pasar del ámbito privado al público. Este detallado y bien documentado estudio es la primera investigación integral que se encara sobre las mujeres radicales. La temática que aborda llena un vacío en los análisis sobre el género y la historia de las instituciones políticas, y ofrece un valioso aporte para la historiografía nacional. En esta segunda edición se incluye un nuevo capítulo que trata, en sus contenidos, sobre la conquista de derechos y los nuevos desafíos en el siglo XXI. También se realizaron algunas adecuaciones menores en otros capítulos para sumar información relevante sobre las principales figuras de la época.</w:t>
      </w:r>
    </w:p>
    <w:p w:rsidR="00D83EC3" w:rsidRPr="00C93805" w:rsidRDefault="00D83EC3" w:rsidP="00D83EC3">
      <w:pPr>
        <w:shd w:val="clear" w:color="auto" w:fill="FFFFFF"/>
        <w:rPr>
          <w:szCs w:val="24"/>
          <w:lang w:eastAsia="es-AR"/>
        </w:rPr>
      </w:pPr>
    </w:p>
    <w:p w:rsidR="00D83EC3" w:rsidRPr="00C93805" w:rsidRDefault="00D83EC3" w:rsidP="00D83EC3">
      <w:pPr>
        <w:pStyle w:val="NormalWeb"/>
        <w:shd w:val="clear" w:color="auto" w:fill="FFFFFF"/>
        <w:spacing w:before="0" w:beforeAutospacing="0" w:after="0" w:afterAutospacing="0"/>
        <w:jc w:val="both"/>
        <w:rPr>
          <w:spacing w:val="6"/>
        </w:rPr>
      </w:pPr>
      <w:r w:rsidRPr="00C93805">
        <w:rPr>
          <w:spacing w:val="6"/>
        </w:rPr>
        <w:t>Al decir de la autora, transcribimos palabras suyas como resumen para fundamentar la presente iniciativa legislativa:</w:t>
      </w:r>
    </w:p>
    <w:p w:rsidR="00D83EC3" w:rsidRPr="00C93805" w:rsidRDefault="00D83EC3" w:rsidP="00D83EC3">
      <w:pPr>
        <w:pStyle w:val="NormalWeb"/>
        <w:shd w:val="clear" w:color="auto" w:fill="FFFFFF"/>
        <w:spacing w:before="0" w:beforeAutospacing="0" w:after="0" w:afterAutospacing="0"/>
        <w:jc w:val="both"/>
        <w:rPr>
          <w:spacing w:val="6"/>
        </w:rPr>
      </w:pPr>
    </w:p>
    <w:p w:rsidR="00D83EC3" w:rsidRPr="00C93805" w:rsidRDefault="00D83EC3" w:rsidP="00D83EC3">
      <w:pPr>
        <w:pStyle w:val="NormalWeb"/>
        <w:shd w:val="clear" w:color="auto" w:fill="FFFFFF"/>
        <w:spacing w:before="0" w:beforeAutospacing="0" w:after="0" w:afterAutospacing="0"/>
        <w:jc w:val="both"/>
        <w:rPr>
          <w:spacing w:val="6"/>
        </w:rPr>
      </w:pPr>
      <w:r w:rsidRPr="00C93805">
        <w:rPr>
          <w:spacing w:val="6"/>
        </w:rPr>
        <w:t>"Las mujeres participaron destacadamente en la vida política argentina, aún cuando todavía no tenían derecho para ello. La Unión Cívica Radical contó con la actuación de pioneras que se comprometieron tempranamente con la causa.</w:t>
      </w:r>
    </w:p>
    <w:p w:rsidR="00D83EC3" w:rsidRPr="00C93805" w:rsidRDefault="00D83EC3" w:rsidP="00D83EC3">
      <w:pPr>
        <w:pStyle w:val="NormalWeb"/>
        <w:shd w:val="clear" w:color="auto" w:fill="FFFFFF"/>
        <w:spacing w:before="0" w:beforeAutospacing="0" w:after="0" w:afterAutospacing="0"/>
        <w:jc w:val="both"/>
        <w:rPr>
          <w:spacing w:val="6"/>
        </w:rPr>
      </w:pPr>
    </w:p>
    <w:p w:rsidR="00D83EC3" w:rsidRPr="00C93805" w:rsidRDefault="00D83EC3" w:rsidP="00D83EC3">
      <w:pPr>
        <w:pStyle w:val="NormalWeb"/>
        <w:shd w:val="clear" w:color="auto" w:fill="FFFFFF"/>
        <w:spacing w:before="0" w:beforeAutospacing="0" w:after="0" w:afterAutospacing="0"/>
        <w:jc w:val="both"/>
        <w:rPr>
          <w:spacing w:val="6"/>
        </w:rPr>
      </w:pPr>
      <w:r w:rsidRPr="00C93805">
        <w:rPr>
          <w:spacing w:val="6"/>
        </w:rPr>
        <w:t>Las agrupaciones feministas debieron luchar primero porque fueran reconocidos los derechos civiles de la mujer. Persistieron en esa batalla hasta que por fin, recién en 1926, durante el gobierno de Marcelo Torcuato de Alvear, quedaba aprobada la reforma al Código Civil que modificaba la situación de minoridad perpetua de la mujer en la normativa jurídica.</w:t>
      </w:r>
    </w:p>
    <w:p w:rsidR="00D83EC3" w:rsidRPr="00C93805" w:rsidRDefault="00D83EC3" w:rsidP="00D83EC3">
      <w:pPr>
        <w:pStyle w:val="NormalWeb"/>
        <w:shd w:val="clear" w:color="auto" w:fill="FFFFFF"/>
        <w:spacing w:before="0" w:beforeAutospacing="0" w:after="0" w:afterAutospacing="0"/>
        <w:jc w:val="both"/>
        <w:rPr>
          <w:spacing w:val="6"/>
        </w:rPr>
      </w:pPr>
    </w:p>
    <w:p w:rsidR="00D83EC3" w:rsidRPr="00C93805" w:rsidRDefault="00D83EC3" w:rsidP="00D83EC3">
      <w:pPr>
        <w:pStyle w:val="NormalWeb"/>
        <w:shd w:val="clear" w:color="auto" w:fill="FFFFFF"/>
        <w:spacing w:before="0" w:beforeAutospacing="0" w:after="0" w:afterAutospacing="0"/>
        <w:jc w:val="both"/>
        <w:rPr>
          <w:spacing w:val="6"/>
        </w:rPr>
      </w:pPr>
      <w:r w:rsidRPr="00C93805">
        <w:rPr>
          <w:spacing w:val="6"/>
        </w:rPr>
        <w:t>No ocurrió lo mismo con los derechos políticos, pues las iniciativas parlamentarias presentadas por legisladores que provenían de diferentes sectores ideológicos, sostenidos asimismo por las agrupaciones feministas, no lograron convertirse en leyes. Y la dinámica de esta derrota no residía tanto en que hubiera una oposición ferviente argumentando en contra del sufragio femenino, no era la estrategia de obstrucción empleada, sino una, quizá más sutil e inexorable, que consistía en postergar una y otra vez el tratamiento legislativo de los proyectos sobre el sufragio femenino.</w:t>
      </w:r>
    </w:p>
    <w:p w:rsidR="00D83EC3" w:rsidRPr="00C93805" w:rsidRDefault="00D83EC3" w:rsidP="00D83EC3">
      <w:pPr>
        <w:pStyle w:val="NormalWeb"/>
        <w:shd w:val="clear" w:color="auto" w:fill="FFFFFF"/>
        <w:spacing w:before="0" w:beforeAutospacing="0" w:after="0" w:afterAutospacing="0"/>
        <w:jc w:val="both"/>
        <w:rPr>
          <w:spacing w:val="6"/>
        </w:rPr>
      </w:pPr>
    </w:p>
    <w:p w:rsidR="00D83EC3" w:rsidRPr="00C93805" w:rsidRDefault="00D83EC3" w:rsidP="00D83EC3">
      <w:pPr>
        <w:pStyle w:val="NormalWeb"/>
        <w:shd w:val="clear" w:color="auto" w:fill="FFFFFF"/>
        <w:spacing w:before="0" w:beforeAutospacing="0" w:after="0" w:afterAutospacing="0"/>
        <w:jc w:val="both"/>
        <w:rPr>
          <w:spacing w:val="6"/>
        </w:rPr>
      </w:pPr>
      <w:r w:rsidRPr="00C93805">
        <w:rPr>
          <w:spacing w:val="6"/>
        </w:rPr>
        <w:t>Justamente, lo que me impulsó a investigar sobre la actuación y participación de las mujeres en el radicalismo fue la escasa bibliografía que había sobre el tema. De este modo, era necesario visibilizar las luchas de las mujeres radicales para lograr el reconocimiento de los derechos cívicos y la efectiva inclusión en los espacios de poder.</w:t>
      </w:r>
    </w:p>
    <w:p w:rsidR="00D83EC3" w:rsidRPr="00C93805" w:rsidRDefault="00D83EC3" w:rsidP="00D83EC3">
      <w:pPr>
        <w:pStyle w:val="NormalWeb"/>
        <w:shd w:val="clear" w:color="auto" w:fill="FFFFFF"/>
        <w:spacing w:before="0" w:beforeAutospacing="0" w:after="0" w:afterAutospacing="0"/>
        <w:jc w:val="both"/>
        <w:rPr>
          <w:spacing w:val="6"/>
        </w:rPr>
      </w:pPr>
    </w:p>
    <w:p w:rsidR="00D83EC3" w:rsidRDefault="00D83EC3" w:rsidP="00D83EC3">
      <w:pPr>
        <w:pStyle w:val="NormalWeb"/>
        <w:shd w:val="clear" w:color="auto" w:fill="FFFFFF"/>
        <w:spacing w:before="0" w:beforeAutospacing="0" w:after="0" w:afterAutospacing="0"/>
        <w:jc w:val="both"/>
        <w:rPr>
          <w:spacing w:val="6"/>
        </w:rPr>
      </w:pPr>
    </w:p>
    <w:p w:rsidR="00D83EC3" w:rsidRDefault="00D83EC3" w:rsidP="00D83EC3">
      <w:pPr>
        <w:pStyle w:val="NormalWeb"/>
        <w:shd w:val="clear" w:color="auto" w:fill="FFFFFF"/>
        <w:spacing w:before="0" w:beforeAutospacing="0" w:after="0" w:afterAutospacing="0"/>
        <w:jc w:val="both"/>
        <w:rPr>
          <w:spacing w:val="6"/>
        </w:rPr>
      </w:pPr>
    </w:p>
    <w:p w:rsidR="00D83EC3" w:rsidRDefault="00D83EC3" w:rsidP="00D83EC3">
      <w:pPr>
        <w:pStyle w:val="NormalWeb"/>
        <w:shd w:val="clear" w:color="auto" w:fill="FFFFFF"/>
        <w:spacing w:before="0" w:beforeAutospacing="0" w:after="0" w:afterAutospacing="0"/>
        <w:jc w:val="both"/>
        <w:rPr>
          <w:spacing w:val="6"/>
        </w:rPr>
      </w:pPr>
    </w:p>
    <w:p w:rsidR="00D83EC3" w:rsidRDefault="00D83EC3" w:rsidP="00D83EC3">
      <w:pPr>
        <w:pStyle w:val="NormalWeb"/>
        <w:shd w:val="clear" w:color="auto" w:fill="FFFFFF"/>
        <w:spacing w:before="0" w:beforeAutospacing="0" w:after="0" w:afterAutospacing="0"/>
        <w:jc w:val="both"/>
        <w:rPr>
          <w:spacing w:val="6"/>
        </w:rPr>
      </w:pPr>
      <w:r w:rsidRPr="00C93805">
        <w:rPr>
          <w:spacing w:val="6"/>
        </w:rPr>
        <w:lastRenderedPageBreak/>
        <w:t>De esta manera, fui armando un rompecabezas con el material que  se encontraba totalmente disperso en un período que se extiende desde los orígenes (1890) hasta la actualidad. Recorrí las plataformas electorales, las convenciones nacionales, los documentos partidarios en distintos archivos y hemerotecas, en especial en la Biblioteca y Archivo Histórico de la UCR.</w:t>
      </w:r>
    </w:p>
    <w:p w:rsidR="00D83EC3" w:rsidRPr="00C93805" w:rsidRDefault="00D83EC3" w:rsidP="00D83EC3">
      <w:pPr>
        <w:pStyle w:val="NormalWeb"/>
        <w:shd w:val="clear" w:color="auto" w:fill="FFFFFF"/>
        <w:spacing w:before="0" w:beforeAutospacing="0" w:after="0" w:afterAutospacing="0"/>
        <w:jc w:val="both"/>
        <w:rPr>
          <w:spacing w:val="6"/>
        </w:rPr>
      </w:pPr>
    </w:p>
    <w:p w:rsidR="00D83EC3" w:rsidRPr="00C93805" w:rsidRDefault="00D83EC3" w:rsidP="00D83EC3">
      <w:pPr>
        <w:pStyle w:val="NormalWeb"/>
        <w:shd w:val="clear" w:color="auto" w:fill="FFFFFF"/>
        <w:spacing w:before="0" w:beforeAutospacing="0" w:after="0" w:afterAutospacing="0"/>
        <w:jc w:val="both"/>
        <w:rPr>
          <w:spacing w:val="6"/>
        </w:rPr>
      </w:pPr>
      <w:r w:rsidRPr="00C93805">
        <w:rPr>
          <w:spacing w:val="6"/>
        </w:rPr>
        <w:t>La temática sobre las mujeres radicales viene a llenar un vacío en los estudios sobre el género y la historia de las instituciones políticas.</w:t>
      </w:r>
    </w:p>
    <w:p w:rsidR="00D83EC3" w:rsidRPr="00C93805" w:rsidRDefault="00D83EC3" w:rsidP="00D83EC3">
      <w:pPr>
        <w:pStyle w:val="NormalWeb"/>
        <w:shd w:val="clear" w:color="auto" w:fill="FFFFFF"/>
        <w:spacing w:before="0" w:beforeAutospacing="0" w:after="0" w:afterAutospacing="0"/>
        <w:jc w:val="both"/>
        <w:rPr>
          <w:spacing w:val="6"/>
        </w:rPr>
      </w:pPr>
    </w:p>
    <w:p w:rsidR="00D83EC3" w:rsidRPr="00C93805" w:rsidRDefault="00D83EC3" w:rsidP="00D83EC3">
      <w:pPr>
        <w:shd w:val="clear" w:color="auto" w:fill="FFFFFF"/>
        <w:rPr>
          <w:spacing w:val="6"/>
          <w:szCs w:val="24"/>
        </w:rPr>
      </w:pPr>
      <w:r w:rsidRPr="00C93805">
        <w:rPr>
          <w:spacing w:val="6"/>
          <w:szCs w:val="24"/>
        </w:rPr>
        <w:t>Cabe señalar que el diputado radical Rogelio Araya fue el autor del primer proyecto de ley presentado en la Cámara de Diputados de la Nación sobre sufragio femenino en 1919. Unos meses antes la Asociación Pro- Derechos de la Mujer, liderada por Elvira Rawson  solicita al mismo doctor Rogelio Araya, -desde el cargo de presidente del Comité Nacional- la necesidad de reivindicar para la mujer la plenitud de los derechos civiles, políticos y económicos. De este modo, el comité nacional de la UCR convoca a la Convención Nacional para que entre otros importantes asuntos traten el otorgamiento del sufragio femenino.</w:t>
      </w:r>
    </w:p>
    <w:p w:rsidR="00D83EC3" w:rsidRPr="00C93805" w:rsidRDefault="00D83EC3" w:rsidP="00D83EC3">
      <w:pPr>
        <w:shd w:val="clear" w:color="auto" w:fill="FFFFFF"/>
        <w:rPr>
          <w:spacing w:val="6"/>
          <w:szCs w:val="24"/>
        </w:rPr>
      </w:pPr>
    </w:p>
    <w:p w:rsidR="00D83EC3" w:rsidRPr="00C93805" w:rsidRDefault="00D83EC3" w:rsidP="00D83EC3">
      <w:pPr>
        <w:pStyle w:val="NormalWeb"/>
        <w:shd w:val="clear" w:color="auto" w:fill="FFFFFF"/>
        <w:spacing w:before="0" w:beforeAutospacing="0" w:after="0" w:afterAutospacing="0"/>
        <w:jc w:val="both"/>
        <w:rPr>
          <w:color w:val="000000"/>
          <w:spacing w:val="6"/>
        </w:rPr>
      </w:pPr>
      <w:r w:rsidRPr="00C93805">
        <w:rPr>
          <w:color w:val="000000"/>
          <w:spacing w:val="6"/>
        </w:rPr>
        <w:t>El retorno a la democracia provocó interesantes expectativas para todos, naturalmente también significó una promesa para los grupos de mujeres que se sumaron al radicalismo, convocadas y atraídas por una consigna que hacía referencia a “una entrada a la vida”.  A su vez, dentro del partido radical, y en especial del presidente de la nación doctor Raúl Alfonsín, hubo una preocupación manifiesta por la cuestión de las mujeres. Esto se reflejó en la Plataforma Electoral de 1983, allí se hacía referencia a que la democracia debía volver a cobijar a sus mujeres y a sus hombres, procurando la efectiva y plena incorporación de la vertiente femenina a la vida social, sin discriminación de ningún tipo. Reservó un capítulo específico dentro del programa electoral dedicado al problema de la “Ubicación de la mujer en el mundo moderno”. Entre las propuestas de la UCR se encuentra la equiparación de la mujer en el ejercicio de la Patria Potestad y toda otra forma que implique cualquier tipo de discriminación o menoscabo de sus derechos”.</w:t>
      </w:r>
    </w:p>
    <w:p w:rsidR="00D83EC3" w:rsidRDefault="00D83EC3" w:rsidP="00D83EC3">
      <w:pPr>
        <w:pStyle w:val="NormalWeb"/>
        <w:shd w:val="clear" w:color="auto" w:fill="FFFFFF"/>
        <w:spacing w:before="0" w:beforeAutospacing="0" w:after="0" w:afterAutospacing="0"/>
        <w:jc w:val="both"/>
        <w:rPr>
          <w:color w:val="000000"/>
          <w:spacing w:val="6"/>
        </w:rPr>
      </w:pPr>
    </w:p>
    <w:p w:rsidR="00D83EC3" w:rsidRPr="00C93805" w:rsidRDefault="00D83EC3" w:rsidP="00D83EC3">
      <w:pPr>
        <w:pStyle w:val="NormalWeb"/>
        <w:shd w:val="clear" w:color="auto" w:fill="FFFFFF"/>
        <w:spacing w:before="0" w:beforeAutospacing="0" w:after="0" w:afterAutospacing="0"/>
        <w:jc w:val="both"/>
        <w:rPr>
          <w:color w:val="000000"/>
          <w:spacing w:val="6"/>
        </w:rPr>
      </w:pPr>
      <w:r w:rsidRPr="00C93805">
        <w:rPr>
          <w:color w:val="000000"/>
          <w:spacing w:val="6"/>
        </w:rPr>
        <w:t>Además el gobierno del doctor Raúl Alfonsín ratificó la Convención sobre la Eliminación de todas las Formas de Discriminación contra la Mujer aprobada por la Asamblea General de las Naciones Unidas. Esta Convención fue uno de los instrumentos más poderosos en la lucha por la igualdad de la mujer.</w:t>
      </w:r>
      <w:r w:rsidRPr="00C93805">
        <w:rPr>
          <w:spacing w:val="6"/>
        </w:rPr>
        <w:t>"</w:t>
      </w:r>
    </w:p>
    <w:p w:rsidR="00D83EC3" w:rsidRPr="00C93805" w:rsidRDefault="00D83EC3" w:rsidP="00D83EC3">
      <w:pPr>
        <w:shd w:val="clear" w:color="auto" w:fill="FFFFFF"/>
        <w:rPr>
          <w:szCs w:val="24"/>
          <w:lang w:eastAsia="es-AR"/>
        </w:rPr>
      </w:pPr>
    </w:p>
    <w:p w:rsidR="00D83EC3" w:rsidRPr="00C93805" w:rsidRDefault="00D83EC3" w:rsidP="00D83EC3">
      <w:pPr>
        <w:shd w:val="clear" w:color="auto" w:fill="FFFFFF"/>
        <w:rPr>
          <w:szCs w:val="24"/>
          <w:lang w:eastAsia="es-AR"/>
        </w:rPr>
      </w:pPr>
      <w:hyperlink r:id="rId7" w:history="1">
        <w:proofErr w:type="spellStart"/>
        <w:r w:rsidRPr="00C93805">
          <w:rPr>
            <w:spacing w:val="13"/>
            <w:szCs w:val="24"/>
            <w:lang w:eastAsia="es-AR"/>
          </w:rPr>
          <w:t>Edit</w:t>
        </w:r>
        <w:proofErr w:type="spellEnd"/>
        <w:r w:rsidRPr="00C93805">
          <w:rPr>
            <w:spacing w:val="13"/>
            <w:szCs w:val="24"/>
            <w:lang w:eastAsia="es-AR"/>
          </w:rPr>
          <w:t xml:space="preserve"> Rosalía Gallo</w:t>
        </w:r>
      </w:hyperlink>
      <w:r w:rsidRPr="00C93805">
        <w:rPr>
          <w:spacing w:val="13"/>
          <w:szCs w:val="24"/>
          <w:lang w:eastAsia="es-AR"/>
        </w:rPr>
        <w:t xml:space="preserve"> e</w:t>
      </w:r>
      <w:r w:rsidRPr="00C93805">
        <w:rPr>
          <w:szCs w:val="24"/>
          <w:lang w:eastAsia="es-AR"/>
        </w:rPr>
        <w:t xml:space="preserve">s licenciada en Servicio Social por la Universidad de Buenos Aires. Se desempeña como investigadora en los campos social e histórico y es autora de una considerable producción historiográfica. Entre sus publicaciones más destacadas se encuentran: Historia de la Beneficencia en el Buenos Aires colonial (2002), Nuestra Causa (2004), Prensa política (2006), Construcción de un partido político. Las convenciones nacionales de la UCR (2009), Periodismo Político Femenino (2013), Propaganda política de la UCR (2013) y Arturo </w:t>
      </w:r>
      <w:proofErr w:type="spellStart"/>
      <w:r w:rsidRPr="00C93805">
        <w:rPr>
          <w:szCs w:val="24"/>
          <w:lang w:eastAsia="es-AR"/>
        </w:rPr>
        <w:t>Illia</w:t>
      </w:r>
      <w:proofErr w:type="spellEnd"/>
      <w:r w:rsidRPr="00C93805">
        <w:rPr>
          <w:szCs w:val="24"/>
          <w:lang w:eastAsia="es-AR"/>
        </w:rPr>
        <w:t>. Obra de Gobierno (2016). También publicó en colaboración con Carlos Giacobone: Manual Bibliográfico sobre la UCR (1989); Ricardo Rojas, político (1991); Radicalismo, un siglo al servicio de la Patria (1991); Radicalismo bonaerense (1999) y Cupo femenino en la política argentina (2001). Se desempeña desde hace treinta años como directora de la Biblioteca, Archivo Histórico y Centro de Documentación de la UCR.</w:t>
      </w:r>
    </w:p>
    <w:p w:rsidR="00D83EC3" w:rsidRPr="00C93805" w:rsidRDefault="00D83EC3" w:rsidP="00D83EC3">
      <w:pPr>
        <w:shd w:val="clear" w:color="auto" w:fill="FFFFFF"/>
        <w:rPr>
          <w:szCs w:val="24"/>
          <w:lang w:eastAsia="es-AR"/>
        </w:rPr>
      </w:pPr>
    </w:p>
    <w:p w:rsidR="00D83EC3" w:rsidRPr="00AA3EA0" w:rsidRDefault="00D83EC3" w:rsidP="00D83EC3">
      <w:pPr>
        <w:shd w:val="clear" w:color="auto" w:fill="FFFFFF"/>
        <w:rPr>
          <w:szCs w:val="24"/>
          <w:lang w:eastAsia="es-AR"/>
        </w:rPr>
      </w:pPr>
      <w:r w:rsidRPr="00C93805">
        <w:rPr>
          <w:szCs w:val="24"/>
          <w:lang w:eastAsia="es-AR"/>
        </w:rPr>
        <w:t>Por los motivos expuestos se solicita la aprobación del presente Proyecto de Declaración.</w:t>
      </w:r>
    </w:p>
    <w:p w:rsidR="00D83EC3" w:rsidRDefault="00D83EC3" w:rsidP="00D83EC3">
      <w:pPr>
        <w:shd w:val="clear" w:color="auto" w:fill="FFFFFF"/>
        <w:rPr>
          <w:szCs w:val="24"/>
          <w:lang w:eastAsia="es-AR"/>
        </w:rPr>
      </w:pPr>
    </w:p>
    <w:p w:rsidR="00D83EC3" w:rsidRPr="00FB0D79" w:rsidRDefault="00D83EC3" w:rsidP="00D83EC3">
      <w:pPr>
        <w:spacing w:after="100"/>
        <w:rPr>
          <w:szCs w:val="24"/>
          <w:lang w:eastAsia="es-AR"/>
        </w:rPr>
      </w:pPr>
    </w:p>
    <w:p w:rsidR="00AF6352" w:rsidRPr="00D83EC3" w:rsidRDefault="00AF6352" w:rsidP="00081FFF"/>
    <w:sectPr w:rsidR="00AF6352" w:rsidRPr="00D83EC3"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EC3" w:rsidRDefault="00D83EC3">
      <w:r>
        <w:separator/>
      </w:r>
    </w:p>
  </w:endnote>
  <w:endnote w:type="continuationSeparator" w:id="1">
    <w:p w:rsidR="00D83EC3" w:rsidRDefault="00D83E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3EC3" w:rsidRDefault="00601A75">
    <w:pPr>
      <w:pStyle w:val="Piedepgina"/>
      <w:rPr>
        <w:color w:val="333333"/>
        <w:sz w:val="20"/>
      </w:rPr>
    </w:pPr>
    <w:bookmarkStart w:id="1" w:name="Proyecto"/>
    <w:bookmarkEnd w:id="1"/>
  </w:p>
  <w:p w:rsidR="00601A75" w:rsidRPr="00D83EC3" w:rsidRDefault="00601A75">
    <w:pPr>
      <w:pStyle w:val="Piedepgina"/>
      <w:rPr>
        <w:color w:val="333333"/>
        <w:sz w:val="20"/>
      </w:rPr>
    </w:pPr>
    <w:r w:rsidRPr="00D83EC3">
      <w:rPr>
        <w:color w:val="333333"/>
        <w:sz w:val="20"/>
      </w:rPr>
      <w:t xml:space="preserve">Último cambio: </w:t>
    </w:r>
    <w:fldSimple w:instr=" SAVEDATE  \* MERGEFORMAT ">
      <w:r w:rsidR="00B702E7">
        <w:rPr>
          <w:noProof/>
          <w:color w:val="333333"/>
          <w:sz w:val="20"/>
        </w:rPr>
        <w:t>30/05/2022 10:40:00</w:t>
      </w:r>
    </w:fldSimple>
    <w:r w:rsidRPr="00D83EC3">
      <w:rPr>
        <w:color w:val="333333"/>
        <w:sz w:val="20"/>
      </w:rPr>
      <w:t xml:space="preserve">  -  Cantidad de caracteres: </w:t>
    </w:r>
    <w:fldSimple w:instr=" NUMCHARS  \* MERGEFORMAT ">
      <w:r w:rsidR="00D83EC3">
        <w:rPr>
          <w:noProof/>
          <w:color w:val="333333"/>
          <w:sz w:val="20"/>
        </w:rPr>
        <w:t>5519</w:t>
      </w:r>
    </w:fldSimple>
    <w:r w:rsidRPr="00D83EC3">
      <w:rPr>
        <w:color w:val="333333"/>
        <w:sz w:val="20"/>
      </w:rPr>
      <w:t xml:space="preserve"> - Cantidad de palabras: </w:t>
    </w:r>
    <w:fldSimple w:instr=" NUMWORDS  \* MERGEFORMAT ">
      <w:r w:rsidR="00D83EC3">
        <w:rPr>
          <w:noProof/>
          <w:color w:val="333333"/>
          <w:sz w:val="20"/>
        </w:rPr>
        <w:t>1018</w:t>
      </w:r>
    </w:fldSimple>
  </w:p>
  <w:p w:rsidR="00601A75" w:rsidRPr="00D83EC3" w:rsidRDefault="00601A75" w:rsidP="00B05649">
    <w:pPr>
      <w:pStyle w:val="Piedepgina"/>
      <w:tabs>
        <w:tab w:val="left" w:pos="3565"/>
      </w:tabs>
      <w:rPr>
        <w:rStyle w:val="Nmerodepgina"/>
        <w:color w:val="333333"/>
      </w:rPr>
    </w:pPr>
    <w:r w:rsidRPr="00D83EC3">
      <w:rPr>
        <w:color w:val="333333"/>
        <w:sz w:val="20"/>
      </w:rPr>
      <w:tab/>
      <w:t>Pág.</w:t>
    </w:r>
    <w:r w:rsidRPr="00D83EC3">
      <w:rPr>
        <w:color w:val="333333"/>
      </w:rPr>
      <w:t xml:space="preserve"> </w:t>
    </w:r>
    <w:r w:rsidRPr="00D83EC3">
      <w:rPr>
        <w:rStyle w:val="Nmerodepgina"/>
        <w:color w:val="333333"/>
      </w:rPr>
      <w:fldChar w:fldCharType="begin"/>
    </w:r>
    <w:r w:rsidRPr="00D83EC3">
      <w:rPr>
        <w:rStyle w:val="Nmerodepgina"/>
        <w:color w:val="333333"/>
      </w:rPr>
      <w:instrText xml:space="preserve"> PAGE </w:instrText>
    </w:r>
    <w:r w:rsidRPr="00D83EC3">
      <w:rPr>
        <w:rStyle w:val="Nmerodepgina"/>
        <w:color w:val="333333"/>
      </w:rPr>
      <w:fldChar w:fldCharType="separate"/>
    </w:r>
    <w:r w:rsidR="00B702E7">
      <w:rPr>
        <w:rStyle w:val="Nmerodepgina"/>
        <w:noProof/>
        <w:color w:val="333333"/>
      </w:rPr>
      <w:t>2</w:t>
    </w:r>
    <w:r w:rsidRPr="00D83EC3">
      <w:rPr>
        <w:rStyle w:val="Nmerodepgina"/>
        <w:color w:val="333333"/>
      </w:rPr>
      <w:fldChar w:fldCharType="end"/>
    </w:r>
    <w:r w:rsidRPr="00D83EC3">
      <w:rPr>
        <w:rStyle w:val="Nmerodepgina"/>
        <w:color w:val="333333"/>
      </w:rPr>
      <w:t>/</w:t>
    </w:r>
    <w:fldSimple w:instr=" NUMPAGES  \* MERGEFORMAT ">
      <w:r w:rsidR="00B702E7">
        <w:rPr>
          <w:rStyle w:val="Nmerodepgina"/>
          <w:noProof/>
          <w:color w:val="333333"/>
        </w:rPr>
        <w:t>2</w:t>
      </w:r>
    </w:fldSimple>
    <w:r w:rsidRPr="00D83EC3">
      <w:rPr>
        <w:rStyle w:val="Nmerodepgina"/>
        <w:color w:val="333333"/>
      </w:rPr>
      <w:t xml:space="preserve"> </w:t>
    </w:r>
  </w:p>
  <w:p w:rsidR="00601A75" w:rsidRPr="00D83EC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EC3" w:rsidRDefault="00D83EC3">
      <w:r>
        <w:separator/>
      </w:r>
    </w:p>
  </w:footnote>
  <w:footnote w:type="continuationSeparator" w:id="1">
    <w:p w:rsidR="00D83EC3" w:rsidRDefault="00D83E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83EC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B702E7"/>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02E7"/>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83EC3"/>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D83EC3"/>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B702E7"/>
    <w:rPr>
      <w:rFonts w:ascii="Tahoma" w:hAnsi="Tahoma" w:cs="Tahoma"/>
      <w:sz w:val="16"/>
      <w:szCs w:val="16"/>
    </w:rPr>
  </w:style>
  <w:style w:type="character" w:customStyle="1" w:styleId="TextodegloboCar">
    <w:name w:val="Texto de globo Car"/>
    <w:basedOn w:val="Fuentedeprrafopredeter"/>
    <w:link w:val="Textodeglobo"/>
    <w:uiPriority w:val="99"/>
    <w:semiHidden/>
    <w:rsid w:val="00B702E7"/>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deba.com.ar/resultados.aspx?c=Gallo%2c+Edit+Rosal%c3%ada&amp;aut=84593&amp;por=AutorEstricto&amp;orden=fech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2</TotalTime>
  <Pages>2</Pages>
  <Words>1018</Words>
  <Characters>5676</Characters>
  <Application>Microsoft Office Word</Application>
  <DocSecurity>0</DocSecurity>
  <Lines>118</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23214689944</cp:lastModifiedBy>
  <cp:revision>2</cp:revision>
  <cp:lastPrinted>1601-01-01T00:00:00Z</cp:lastPrinted>
  <dcterms:created xsi:type="dcterms:W3CDTF">2022-05-30T13:37:00Z</dcterms:created>
  <dcterms:modified xsi:type="dcterms:W3CDTF">2022-05-30T13:40:00Z</dcterms:modified>
</cp:coreProperties>
</file>