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BD2" w:rsidRDefault="00950BD2"/>
    <w:p w:rsidR="00950BD2" w:rsidRDefault="00950BD2"/>
    <w:p w:rsidR="00950BD2" w:rsidRDefault="00912879">
      <w:r>
        <w:t>Legislatura de la Ciudad Autónoma de Buenos Aires</w:t>
      </w:r>
    </w:p>
    <w:p w:rsidR="00950BD2" w:rsidRDefault="00950BD2"/>
    <w:p w:rsidR="00950BD2" w:rsidRDefault="00912879">
      <w:r>
        <w:t>Visto:</w:t>
      </w:r>
    </w:p>
    <w:p w:rsidR="00950BD2" w:rsidRDefault="00950BD2">
      <w:pPr>
        <w:ind w:firstLine="709"/>
      </w:pPr>
    </w:p>
    <w:p w:rsidR="00950BD2" w:rsidRDefault="00912879">
      <w:pPr>
        <w:ind w:firstLine="709"/>
      </w:pPr>
      <w:r>
        <w:t>Que el Expediente N°2182-D-2022, de autoría del Diputado Claudio Ariel Romero, y las/os Diputadas/os Carolina Estebarena, María Luisa González Estevarena y Matías Damián López, Proyecto de Ley por el que solicitan que se instituya el Día 25 de Junio de cad</w:t>
      </w:r>
      <w:r>
        <w:t xml:space="preserve">a año como el “Día de la Concientización y Visibilización del Vitíligo”, y; </w:t>
      </w:r>
    </w:p>
    <w:p w:rsidR="00950BD2" w:rsidRDefault="00950BD2">
      <w:pPr>
        <w:ind w:firstLine="709"/>
      </w:pPr>
    </w:p>
    <w:p w:rsidR="00950BD2" w:rsidRDefault="00912879">
      <w:r>
        <w:t>Considerando:</w:t>
      </w:r>
    </w:p>
    <w:p w:rsidR="00950BD2" w:rsidRDefault="00950BD2"/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  <w:r>
        <w:rPr>
          <w:color w:val="000000"/>
        </w:rPr>
        <w:t>Que la presente Ley tiene por finalidad declarar el 25 de junio de cada año, como el día de la "concientización y visibilización del vitíligo", a fin de dar a cono</w:t>
      </w:r>
      <w:r>
        <w:rPr>
          <w:color w:val="000000"/>
        </w:rPr>
        <w:t xml:space="preserve">cer la enfermedad y fundamentalmente, concientizar acerca de la misma, evitando burlas y maltratos a aquellos que la padecen; </w:t>
      </w:r>
    </w:p>
    <w:p w:rsidR="00950BD2" w:rsidRDefault="00950B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</w:p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  <w:r>
        <w:rPr>
          <w:color w:val="000000"/>
        </w:rPr>
        <w:t>Que el vitiligo  es una enfermedad de la piel adquirida, crónica, de carácter autoinmune, que se caracteriza por la aparición de</w:t>
      </w:r>
      <w:r>
        <w:rPr>
          <w:color w:val="000000"/>
        </w:rPr>
        <w:t xml:space="preserve"> áreas despigmentadas bien delimitadas de la piel debido a la falta de función y pérdida de los melanocitos (las células responsables de la pigmentación). Las lesiones pueden ser de cualquier forma y tamaño y pueden afectar cualquier parte de la piel y tam</w:t>
      </w:r>
      <w:r>
        <w:rPr>
          <w:color w:val="000000"/>
        </w:rPr>
        <w:t>bién mucosas;</w:t>
      </w:r>
    </w:p>
    <w:p w:rsidR="00950BD2" w:rsidRDefault="00950B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</w:p>
    <w:p w:rsidR="00950BD2" w:rsidRDefault="00912879">
      <w:pPr>
        <w:ind w:firstLine="709"/>
        <w:rPr>
          <w:color w:val="000000"/>
          <w:highlight w:val="white"/>
        </w:rPr>
      </w:pPr>
      <w:r>
        <w:t xml:space="preserve">Que </w:t>
      </w:r>
      <w:r>
        <w:rPr>
          <w:color w:val="000000"/>
          <w:highlight w:val="white"/>
        </w:rPr>
        <w:t>esta enfermedad se manifiesta por la aparición de lesiones blancas que resultan de la ausencia del pigmento en la piel. Estas lesiones resultantes del citado proceso, tienen un tamaño variable y su evolución y localización en las distint</w:t>
      </w:r>
      <w:r>
        <w:rPr>
          <w:color w:val="000000"/>
          <w:highlight w:val="white"/>
        </w:rPr>
        <w:t>as partes del cuerpo no es previsible, si bien en el tipo de vitiligo que más predomina, el vitiligo simétrico, las lesiones tienden a aparecer a ambos lados del cuerpo en zonas similares. La textura de la piel no cambia. El vitiligo no es contagioso y sus</w:t>
      </w:r>
      <w:r>
        <w:rPr>
          <w:color w:val="000000"/>
          <w:highlight w:val="white"/>
        </w:rPr>
        <w:t xml:space="preserve"> consecuencias son fundamentalmente de carácter estético, y por tanto psicosocial;</w:t>
      </w:r>
    </w:p>
    <w:p w:rsidR="00950BD2" w:rsidRDefault="00950BD2">
      <w:pPr>
        <w:ind w:firstLine="709"/>
        <w:rPr>
          <w:color w:val="000000"/>
          <w:highlight w:val="white"/>
        </w:rPr>
      </w:pPr>
    </w:p>
    <w:p w:rsidR="00950BD2" w:rsidRDefault="00912879">
      <w:pPr>
        <w:ind w:firstLine="709"/>
        <w:rPr>
          <w:color w:val="000000"/>
          <w:highlight w:val="white"/>
        </w:rPr>
      </w:pPr>
      <w:r>
        <w:t xml:space="preserve">Que </w:t>
      </w:r>
      <w:r>
        <w:rPr>
          <w:color w:val="000000"/>
          <w:highlight w:val="white"/>
        </w:rPr>
        <w:t xml:space="preserve">en el 40 % de los casos, el vitiligo es hereditario, si bien lo que se hereda es la predisposición genética, no la propia enfermedad. Para que esta se desarrolle tiene </w:t>
      </w:r>
      <w:r>
        <w:rPr>
          <w:color w:val="000000"/>
          <w:highlight w:val="white"/>
        </w:rPr>
        <w:t>que concurrir, junto con la predisposición genética, un factor desencadenante;</w:t>
      </w:r>
    </w:p>
    <w:p w:rsidR="00950BD2" w:rsidRDefault="00950BD2">
      <w:pPr>
        <w:ind w:firstLine="709"/>
        <w:rPr>
          <w:color w:val="000000"/>
          <w:highlight w:val="white"/>
        </w:rPr>
      </w:pPr>
    </w:p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  <w:r>
        <w:rPr>
          <w:color w:val="000000"/>
        </w:rPr>
        <w:t xml:space="preserve">Que </w:t>
      </w:r>
      <w:r>
        <w:rPr>
          <w:color w:val="000000"/>
          <w:highlight w:val="white"/>
        </w:rPr>
        <w:t>e</w:t>
      </w:r>
      <w:r>
        <w:rPr>
          <w:color w:val="000000"/>
        </w:rPr>
        <w:t xml:space="preserve">l 25 de junio se celebra el Día Mundial del Vitíligo, con la finalidad de dar a conocer información sobre esta patología y </w:t>
      </w:r>
      <w:r>
        <w:t>cómo</w:t>
      </w:r>
      <w:r>
        <w:rPr>
          <w:color w:val="000000"/>
        </w:rPr>
        <w:t xml:space="preserve"> afecta a las personas que la padecen;</w:t>
      </w:r>
    </w:p>
    <w:p w:rsidR="00950BD2" w:rsidRDefault="00950B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</w:p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  <w:r>
        <w:rPr>
          <w:color w:val="000000"/>
        </w:rPr>
        <w:t xml:space="preserve">Que </w:t>
      </w:r>
      <w:r>
        <w:rPr>
          <w:color w:val="000000"/>
        </w:rPr>
        <w:t>se requiere sensibilizar y concienciar a las personas sobre esta condición dermatológica autoinmune, que afecta aproximadamente a un 2% de la población a nivel mundial no solo en la piel, sino en su autoestima;</w:t>
      </w:r>
    </w:p>
    <w:p w:rsidR="00950BD2" w:rsidRDefault="00950B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</w:p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  <w:r>
        <w:rPr>
          <w:color w:val="000000"/>
        </w:rPr>
        <w:t xml:space="preserve">Que por ser una enfermedad visible quien la padece  suele sufrir rechazo o poca aceptación en su entorno social y familiar. Esto genera como consecuencia baja autoestima, ideación suicida (en algunos casos), estrés, irritabilidad, agresividad, aislamiento </w:t>
      </w:r>
      <w:r>
        <w:rPr>
          <w:color w:val="000000"/>
        </w:rPr>
        <w:t>social, depresión y ansiedad;</w:t>
      </w:r>
    </w:p>
    <w:p w:rsidR="00950BD2" w:rsidRDefault="00950B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</w:p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  <w:r>
        <w:rPr>
          <w:color w:val="000000"/>
        </w:rPr>
        <w:t>Que resulta pertinente buscar apoyo profesional especializado (dermatólogo, psicólogo), a fin de efectuar un adecuado seguimiento y control del paciente, aunado al apoyo familiar para afrontar esta enfermedad;</w:t>
      </w:r>
    </w:p>
    <w:p w:rsidR="00950BD2" w:rsidRDefault="00950BD2">
      <w:pPr>
        <w:ind w:firstLine="709"/>
        <w:rPr>
          <w:color w:val="000000"/>
          <w:highlight w:val="white"/>
        </w:rPr>
      </w:pPr>
    </w:p>
    <w:p w:rsidR="00950BD2" w:rsidRDefault="00912879">
      <w:pPr>
        <w:ind w:firstLine="709"/>
      </w:pPr>
      <w:r>
        <w:t>Que e</w:t>
      </w:r>
      <w:r>
        <w:rPr>
          <w:color w:val="000000"/>
          <w:highlight w:val="white"/>
        </w:rPr>
        <w:t>s de vita</w:t>
      </w:r>
      <w:r>
        <w:rPr>
          <w:color w:val="000000"/>
          <w:highlight w:val="white"/>
        </w:rPr>
        <w:t>l importancia concienciar a la población mundial sobre el vitíligo, para normalizar esta condición en la sociedad y evitar la discriminación y rechazo hacia las personas que la padecen;</w:t>
      </w:r>
    </w:p>
    <w:p w:rsidR="00950BD2" w:rsidRDefault="00950BD2">
      <w:pPr>
        <w:ind w:firstLine="709"/>
      </w:pPr>
    </w:p>
    <w:p w:rsidR="00950BD2" w:rsidRDefault="00912879">
      <w:pPr>
        <w:ind w:firstLine="708"/>
      </w:pPr>
      <w:r>
        <w:t>Por lo expuesto, esta Comisión de Salud aconseja la sanción de la sig</w:t>
      </w:r>
      <w:r>
        <w:t>uiente</w:t>
      </w:r>
    </w:p>
    <w:p w:rsidR="00950BD2" w:rsidRDefault="00950BD2"/>
    <w:p w:rsidR="00950BD2" w:rsidRDefault="00950BD2"/>
    <w:p w:rsidR="00950BD2" w:rsidRDefault="00912879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LEY</w:t>
      </w:r>
    </w:p>
    <w:p w:rsidR="00950BD2" w:rsidRDefault="00950BD2">
      <w:pPr>
        <w:jc w:val="center"/>
        <w:rPr>
          <w:b/>
        </w:rPr>
      </w:pPr>
    </w:p>
    <w:p w:rsidR="00950BD2" w:rsidRDefault="00950BD2">
      <w:pPr>
        <w:jc w:val="center"/>
        <w:rPr>
          <w:b/>
        </w:rPr>
      </w:pPr>
    </w:p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Artículo 1°.-</w:t>
      </w:r>
      <w:r>
        <w:rPr>
          <w:color w:val="000000"/>
        </w:rPr>
        <w:t xml:space="preserve"> Institúyase el día 25 de junio de cada año como "Día de la Concientización y Visibilización del Vitiligo" en el ámbito de la Ciudad Autónoma de Buenos Aires. </w:t>
      </w:r>
    </w:p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hd w:val="clear" w:color="auto" w:fill="BFBFBF"/>
        </w:rPr>
      </w:pPr>
      <w:r>
        <w:rPr>
          <w:color w:val="000000"/>
        </w:rPr>
        <w:t xml:space="preserve"> </w:t>
      </w:r>
    </w:p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eading=h.30j0zll" w:colFirst="0" w:colLast="0"/>
      <w:bookmarkEnd w:id="1"/>
      <w:r>
        <w:rPr>
          <w:b/>
          <w:color w:val="000000"/>
        </w:rPr>
        <w:t>Artículo 2°.-</w:t>
      </w:r>
      <w:r>
        <w:rPr>
          <w:color w:val="000000"/>
        </w:rPr>
        <w:t xml:space="preserve"> El Poder Ejecutivo junto a la autoridad de aplicación que designe, podrá propiciar el desarrollo de actividades de concientización y educación referente a la enfermedad del vitíligo. </w:t>
      </w:r>
    </w:p>
    <w:p w:rsidR="00950BD2" w:rsidRDefault="00950B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50BD2" w:rsidRDefault="009128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b/>
          <w:color w:val="000000"/>
        </w:rPr>
        <w:t> Artículo 3°.-</w:t>
      </w:r>
      <w:r>
        <w:rPr>
          <w:color w:val="000000"/>
        </w:rPr>
        <w:t xml:space="preserve"> Comuníquese, etc.</w:t>
      </w:r>
    </w:p>
    <w:p w:rsidR="00950BD2" w:rsidRDefault="00950BD2">
      <w:pPr>
        <w:rPr>
          <w:b/>
        </w:rPr>
      </w:pPr>
    </w:p>
    <w:p w:rsidR="00950BD2" w:rsidRDefault="00950BD2"/>
    <w:p w:rsidR="00950BD2" w:rsidRDefault="00950BD2"/>
    <w:p w:rsidR="00950BD2" w:rsidRDefault="00912879">
      <w:r>
        <w:t>Sala de la Comisión:            de                                             de 2022</w:t>
      </w:r>
    </w:p>
    <w:p w:rsidR="00950BD2" w:rsidRDefault="00950BD2"/>
    <w:p w:rsidR="00950BD2" w:rsidRDefault="00950BD2">
      <w:pPr>
        <w:ind w:left="4962"/>
        <w:jc w:val="center"/>
      </w:pPr>
    </w:p>
    <w:p w:rsidR="00950BD2" w:rsidRDefault="00950BD2">
      <w:pPr>
        <w:ind w:left="4962"/>
        <w:jc w:val="center"/>
      </w:pPr>
    </w:p>
    <w:p w:rsidR="00950BD2" w:rsidRDefault="00950BD2">
      <w:pPr>
        <w:ind w:left="4962"/>
        <w:jc w:val="center"/>
      </w:pPr>
    </w:p>
    <w:p w:rsidR="00950BD2" w:rsidRDefault="00950BD2">
      <w:pPr>
        <w:ind w:left="4962"/>
        <w:jc w:val="center"/>
      </w:pPr>
    </w:p>
    <w:p w:rsidR="00950BD2" w:rsidRDefault="00950BD2">
      <w:pPr>
        <w:ind w:left="4962"/>
        <w:jc w:val="center"/>
      </w:pPr>
    </w:p>
    <w:p w:rsidR="00950BD2" w:rsidRDefault="00950BD2">
      <w:pPr>
        <w:ind w:left="4962"/>
        <w:jc w:val="center"/>
      </w:pPr>
    </w:p>
    <w:p w:rsidR="00950BD2" w:rsidRDefault="00912879">
      <w:pPr>
        <w:ind w:left="4962"/>
        <w:jc w:val="center"/>
      </w:pPr>
      <w:r>
        <w:t>Bou Pérez, Ana María</w:t>
      </w:r>
    </w:p>
    <w:p w:rsidR="00950BD2" w:rsidRDefault="00912879">
      <w:pPr>
        <w:ind w:left="4962"/>
        <w:jc w:val="center"/>
      </w:pPr>
      <w:r>
        <w:t>Presidente</w:t>
      </w:r>
    </w:p>
    <w:p w:rsidR="00950BD2" w:rsidRDefault="00950BD2"/>
    <w:p w:rsidR="00950BD2" w:rsidRDefault="00950BD2"/>
    <w:p w:rsidR="00950BD2" w:rsidRDefault="00950BD2"/>
    <w:p w:rsidR="00950BD2" w:rsidRDefault="00950BD2"/>
    <w:p w:rsidR="00950BD2" w:rsidRDefault="00950BD2"/>
    <w:p w:rsidR="00950BD2" w:rsidRDefault="00912879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950BD2" w:rsidRDefault="00912879">
      <w:pPr>
        <w:tabs>
          <w:tab w:val="left" w:pos="4962"/>
        </w:tabs>
      </w:pPr>
      <w:r>
        <w:t>Vicepresidente 1°</w:t>
      </w: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12879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12879">
      <w:pPr>
        <w:tabs>
          <w:tab w:val="left" w:pos="4962"/>
        </w:tabs>
      </w:pPr>
      <w:r>
        <w:t xml:space="preserve">Daer,  Maia </w:t>
      </w:r>
      <w:r>
        <w:tab/>
      </w:r>
      <w:r>
        <w:t>De Las Casas, Mercedes</w:t>
      </w: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12879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12879">
      <w:pPr>
        <w:tabs>
          <w:tab w:val="left" w:pos="4962"/>
        </w:tabs>
      </w:pPr>
      <w:r>
        <w:t xml:space="preserve">Méndez, María Sol </w:t>
      </w:r>
      <w:r>
        <w:tab/>
        <w:t>Montenegro, Victoria</w:t>
      </w: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12879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50BD2">
      <w:pPr>
        <w:tabs>
          <w:tab w:val="left" w:pos="4962"/>
        </w:tabs>
      </w:pPr>
    </w:p>
    <w:p w:rsidR="00950BD2" w:rsidRDefault="00912879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950BD2" w:rsidRDefault="00950BD2"/>
    <w:sectPr w:rsidR="00950BD2" w:rsidSect="00950BD2">
      <w:headerReference w:type="default" r:id="rId7"/>
      <w:footerReference w:type="default" r:id="rId8"/>
      <w:pgSz w:w="12242" w:h="20163"/>
      <w:pgMar w:top="2268" w:right="760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879" w:rsidRDefault="00912879" w:rsidP="00950BD2">
      <w:r>
        <w:separator/>
      </w:r>
    </w:p>
  </w:endnote>
  <w:endnote w:type="continuationSeparator" w:id="1">
    <w:p w:rsidR="00912879" w:rsidRDefault="00912879" w:rsidP="00950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D2" w:rsidRDefault="00950B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2" w:name="bookmark=id.1fob9te" w:colFirst="0" w:colLast="0"/>
  </w:p>
  <w:p w:rsidR="00950BD2" w:rsidRDefault="009128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26/09/2022 14:48:00  -  Cantidad de caracteres: 3583 - Cantidad de palabras: 663</w:t>
    </w:r>
  </w:p>
  <w:p w:rsidR="00950BD2" w:rsidRDefault="009128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950BD2">
      <w:rPr>
        <w:color w:val="333333"/>
      </w:rPr>
      <w:fldChar w:fldCharType="begin"/>
    </w:r>
    <w:r>
      <w:rPr>
        <w:color w:val="333333"/>
      </w:rPr>
      <w:instrText>PAGE</w:instrText>
    </w:r>
    <w:r w:rsidR="00486E08">
      <w:rPr>
        <w:color w:val="333333"/>
      </w:rPr>
      <w:fldChar w:fldCharType="separate"/>
    </w:r>
    <w:r w:rsidR="00486E08">
      <w:rPr>
        <w:noProof/>
        <w:color w:val="333333"/>
      </w:rPr>
      <w:t>1</w:t>
    </w:r>
    <w:r w:rsidR="00950BD2">
      <w:rPr>
        <w:color w:val="333333"/>
      </w:rPr>
      <w:fldChar w:fldCharType="end"/>
    </w:r>
    <w:r>
      <w:rPr>
        <w:color w:val="333333"/>
      </w:rPr>
      <w:t>/</w:t>
    </w:r>
    <w:r w:rsidR="00950BD2">
      <w:rPr>
        <w:color w:val="000000"/>
      </w:rPr>
      <w:fldChar w:fldCharType="begin"/>
    </w:r>
    <w:r>
      <w:rPr>
        <w:color w:val="000000"/>
      </w:rPr>
      <w:instrText>NUMPAGES</w:instrText>
    </w:r>
    <w:r w:rsidR="00486E08">
      <w:rPr>
        <w:color w:val="000000"/>
      </w:rPr>
      <w:fldChar w:fldCharType="separate"/>
    </w:r>
    <w:r w:rsidR="00486E08">
      <w:rPr>
        <w:noProof/>
        <w:color w:val="000000"/>
      </w:rPr>
      <w:t>3</w:t>
    </w:r>
    <w:r w:rsidR="00950BD2">
      <w:rPr>
        <w:color w:val="000000"/>
      </w:rPr>
      <w:fldChar w:fldCharType="end"/>
    </w:r>
    <w:r>
      <w:rPr>
        <w:color w:val="333333"/>
      </w:rPr>
      <w:t xml:space="preserve"> </w:t>
    </w:r>
  </w:p>
  <w:p w:rsidR="00950BD2" w:rsidRDefault="00950B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879" w:rsidRDefault="00912879" w:rsidP="00950BD2">
      <w:r>
        <w:separator/>
      </w:r>
    </w:p>
  </w:footnote>
  <w:footnote w:type="continuationSeparator" w:id="1">
    <w:p w:rsidR="00912879" w:rsidRDefault="00912879" w:rsidP="00950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D2" w:rsidRDefault="009128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950BD2" w:rsidRDefault="00912879">
    <w:pPr>
      <w:rPr>
        <w:sz w:val="20"/>
        <w:szCs w:val="20"/>
      </w:rPr>
    </w:pPr>
    <w:r>
      <w:rPr>
        <w:sz w:val="20"/>
        <w:szCs w:val="20"/>
      </w:rPr>
      <w:t>2022 - "Año del 40º aniversario de la guerra de Malvinas. En homenaje a los veteranos y caídos en defensa de las Islas Malvinas y el Atlántico Sur"</w:t>
    </w:r>
  </w:p>
  <w:p w:rsidR="00950BD2" w:rsidRDefault="009128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2182-D-2022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0BD2"/>
    <w:rsid w:val="00486E08"/>
    <w:rsid w:val="00912879"/>
    <w:rsid w:val="00950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AR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  <w:rPr>
      <w:lang w:val="es-ES_tradnl"/>
    </w:rPr>
  </w:style>
  <w:style w:type="paragraph" w:styleId="Ttulo1">
    <w:name w:val="heading 1"/>
    <w:basedOn w:val="normal0"/>
    <w:next w:val="normal0"/>
    <w:rsid w:val="00950B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950B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950B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950BD2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950BD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950B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950BD2"/>
  </w:style>
  <w:style w:type="table" w:customStyle="1" w:styleId="TableNormal">
    <w:name w:val="Table Normal"/>
    <w:rsid w:val="00950B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950BD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F5010A"/>
    <w:pPr>
      <w:spacing w:before="100" w:beforeAutospacing="1" w:after="100" w:afterAutospacing="1"/>
      <w:jc w:val="left"/>
    </w:pPr>
    <w:rPr>
      <w:lang w:val="es-AR" w:eastAsia="es-AR"/>
    </w:rPr>
  </w:style>
  <w:style w:type="character" w:styleId="Hipervnculo">
    <w:name w:val="Hyperlink"/>
    <w:rsid w:val="00F5010A"/>
    <w:rPr>
      <w:u w:val="single"/>
    </w:rPr>
  </w:style>
  <w:style w:type="character" w:styleId="Textoennegrita">
    <w:name w:val="Strong"/>
    <w:basedOn w:val="Fuentedeprrafopredeter"/>
    <w:uiPriority w:val="22"/>
    <w:qFormat/>
    <w:rsid w:val="00F5010A"/>
    <w:rPr>
      <w:b/>
      <w:bCs/>
    </w:rPr>
  </w:style>
  <w:style w:type="paragraph" w:styleId="Subttulo">
    <w:name w:val="Subtitle"/>
    <w:basedOn w:val="Normal"/>
    <w:next w:val="Normal"/>
    <w:rsid w:val="00950B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4JyCmUPv43Ho7FckuFTGoh6C2w==">AMUW2mVIIn6fUCrOyeOBjXmoZGUNOWZkq59f4KK7KtKVUPycycGsW+DPqvyZ3mAq1ZkiUZiTB2gzVHwZVEPcSbp6QVhRdwtT9bH2M6B+ZcqRBEJEO/Yrsphwpdsg+IjyoMJyFKLZYZbwkZcSUqv1R09oH2Ff++ts0w==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2022-10-04T15:37:00Z</dcterms:created>
  <dcterms:modified xsi:type="dcterms:W3CDTF">2022-10-04T15:37:00Z</dcterms:modified>
</cp:coreProperties>
</file>