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538B" w:rsidRDefault="0078538B"/>
    <w:p w:rsidR="0078538B" w:rsidRDefault="00335345">
      <w:r>
        <w:t>Legislatura de la Ciudad Autónoma de Buenos Aires</w:t>
      </w:r>
    </w:p>
    <w:p w:rsidR="0078538B" w:rsidRDefault="0078538B"/>
    <w:p w:rsidR="0078538B" w:rsidRDefault="00335345">
      <w:r>
        <w:t>Visto:</w:t>
      </w:r>
    </w:p>
    <w:p w:rsidR="0078538B" w:rsidRDefault="0078538B">
      <w:pPr>
        <w:ind w:firstLine="567"/>
      </w:pPr>
    </w:p>
    <w:p w:rsidR="0078538B" w:rsidRDefault="00335345">
      <w:pPr>
        <w:ind w:firstLine="709"/>
      </w:pPr>
      <w:r>
        <w:t xml:space="preserve">Que el Expediente N° 374-D-2022, de autoría del Diputado Juan Manuel Valdés, y las/os Diputadas/os Claudio Américo Ferreño, María Victoria Montenegro, Claudia Neira y María Magdalena Tiesso, Proyecto de Declaración por el que solicitan que se Conmemore el </w:t>
      </w:r>
      <w:r>
        <w:t xml:space="preserve">"Día Internacional de la Espina Bifida e Hidrocefalia", y; </w:t>
      </w:r>
    </w:p>
    <w:p w:rsidR="0078538B" w:rsidRDefault="0078538B"/>
    <w:p w:rsidR="0078538B" w:rsidRDefault="0078538B"/>
    <w:p w:rsidR="0078538B" w:rsidRDefault="00335345">
      <w:r>
        <w:t>Considerando:</w:t>
      </w:r>
    </w:p>
    <w:p w:rsidR="0078538B" w:rsidRDefault="0078538B"/>
    <w:p w:rsidR="0078538B" w:rsidRDefault="00335345">
      <w:pPr>
        <w:spacing w:line="276" w:lineRule="auto"/>
        <w:ind w:firstLine="709"/>
        <w:rPr>
          <w:highlight w:val="white"/>
        </w:rPr>
      </w:pPr>
      <w:r>
        <w:t>Que e</w:t>
      </w:r>
      <w:r>
        <w:rPr>
          <w:highlight w:val="white"/>
        </w:rPr>
        <w:t>l 25 de octubre de cada año, se conmemora el Día Internacional de la Espina Bífida e Hidrocefalia promovido por Federación Internacional de Espina Bífida e Hidrocefalia, dond</w:t>
      </w:r>
      <w:r>
        <w:rPr>
          <w:highlight w:val="white"/>
        </w:rPr>
        <w:t>e se busca concientizar a la población sobre esta enfermedad;</w:t>
      </w:r>
    </w:p>
    <w:p w:rsidR="0078538B" w:rsidRDefault="0078538B">
      <w:pPr>
        <w:spacing w:line="276" w:lineRule="auto"/>
        <w:ind w:firstLine="709"/>
        <w:rPr>
          <w:highlight w:val="white"/>
        </w:rPr>
      </w:pPr>
    </w:p>
    <w:p w:rsidR="0078538B" w:rsidRDefault="00335345">
      <w:pPr>
        <w:spacing w:line="276" w:lineRule="auto"/>
        <w:ind w:firstLine="709"/>
      </w:pPr>
      <w:r>
        <w:t>Que e</w:t>
      </w:r>
      <w:r>
        <w:rPr>
          <w:highlight w:val="white"/>
        </w:rPr>
        <w:t>l mensaje de las asociaciones sobre la enfermedad se centra en la prevención de esta malformación congénita y en la necesidad de mejorar la calidad de vida  de las personas que viven con e</w:t>
      </w:r>
      <w:r>
        <w:rPr>
          <w:highlight w:val="white"/>
        </w:rPr>
        <w:t>ste diagnóstico;</w:t>
      </w:r>
    </w:p>
    <w:p w:rsidR="0078538B" w:rsidRDefault="0078538B">
      <w:pPr>
        <w:spacing w:line="276" w:lineRule="auto"/>
        <w:ind w:firstLine="709"/>
      </w:pPr>
    </w:p>
    <w:p w:rsidR="0078538B" w:rsidRDefault="00335345">
      <w:pPr>
        <w:spacing w:line="276" w:lineRule="auto"/>
        <w:ind w:firstLine="709"/>
      </w:pPr>
      <w:r>
        <w:t xml:space="preserve">Que la espina bífida o "columna hendida," es una malformación congénita que ocasiona anomalías en el tubo neural del feto, en la columna vertebral, en los primeros meses de embarazo y por ello, los afectados tienen problemas de movilidad </w:t>
      </w:r>
      <w:r>
        <w:t>y sensibilidad, en diferente grado, en las extremidades inferiores;</w:t>
      </w:r>
    </w:p>
    <w:p w:rsidR="0078538B" w:rsidRDefault="0078538B">
      <w:pPr>
        <w:spacing w:line="276" w:lineRule="auto"/>
        <w:ind w:firstLine="709"/>
      </w:pPr>
    </w:p>
    <w:p w:rsidR="0078538B" w:rsidRDefault="00335345">
      <w:pPr>
        <w:spacing w:line="276" w:lineRule="auto"/>
        <w:ind w:firstLine="709"/>
      </w:pPr>
      <w:r>
        <w:t>Que es una lesión irreversible y permanente. Las causas se desconocen .En la mayoría de los casos, la espina bífida se diagnostica antes del nacimiento. Sin embargo, algunos casos leves p</w:t>
      </w:r>
      <w:r>
        <w:t>ueden pasar desapercibidos hasta después del nacimiento. Los casos muy leves, donde no hay síntomas, pueden no detectarse nunca;</w:t>
      </w:r>
    </w:p>
    <w:p w:rsidR="0078538B" w:rsidRDefault="0078538B">
      <w:pPr>
        <w:spacing w:line="276" w:lineRule="auto"/>
        <w:ind w:firstLine="709"/>
      </w:pPr>
    </w:p>
    <w:p w:rsidR="0078538B" w:rsidRDefault="00335345">
      <w:pPr>
        <w:spacing w:line="276" w:lineRule="auto"/>
        <w:ind w:firstLine="709"/>
        <w:rPr>
          <w:color w:val="000000"/>
        </w:rPr>
      </w:pPr>
      <w:r>
        <w:t>Que s</w:t>
      </w:r>
      <w:r>
        <w:rPr>
          <w:color w:val="000000"/>
        </w:rPr>
        <w:t>egún los conocimientos actuales, el consumo de ácido fólico desde tres meses antes de un embarazo planificado, contribuye</w:t>
      </w:r>
      <w:r>
        <w:rPr>
          <w:color w:val="000000"/>
        </w:rPr>
        <w:t xml:space="preserve"> a evitar la aparición de la espina bífida;</w:t>
      </w:r>
    </w:p>
    <w:p w:rsidR="0078538B" w:rsidRDefault="0078538B">
      <w:pPr>
        <w:spacing w:line="276" w:lineRule="auto"/>
        <w:ind w:firstLine="709"/>
      </w:pPr>
    </w:p>
    <w:p w:rsidR="0078538B" w:rsidRDefault="00335345">
      <w:pPr>
        <w:shd w:val="clear" w:color="auto" w:fill="FFFFFF"/>
        <w:spacing w:after="133" w:line="276" w:lineRule="auto"/>
        <w:ind w:firstLine="709"/>
        <w:rPr>
          <w:color w:val="000000"/>
        </w:rPr>
      </w:pPr>
      <w:r>
        <w:t>Que n</w:t>
      </w:r>
      <w:r>
        <w:rPr>
          <w:color w:val="000000"/>
        </w:rPr>
        <w:t>o existe un tratamiento definitivo para la espina bífida, aunque sí existen abordajes que contribuyen a minimizar las consecuencias y complicaciones y a mejorar la calidad de vida;</w:t>
      </w:r>
    </w:p>
    <w:p w:rsidR="0078538B" w:rsidRDefault="0078538B">
      <w:pPr>
        <w:shd w:val="clear" w:color="auto" w:fill="FFFFFF"/>
        <w:spacing w:after="133" w:line="276" w:lineRule="auto"/>
        <w:ind w:firstLine="709"/>
      </w:pPr>
    </w:p>
    <w:p w:rsidR="0078538B" w:rsidRDefault="00335345">
      <w:pPr>
        <w:shd w:val="clear" w:color="auto" w:fill="FFFFFF"/>
        <w:spacing w:after="133" w:line="276" w:lineRule="auto"/>
        <w:ind w:firstLine="709"/>
      </w:pPr>
      <w:r>
        <w:t>Que l</w:t>
      </w:r>
      <w:r>
        <w:rPr>
          <w:color w:val="000000"/>
        </w:rPr>
        <w:t>a atención, la reha</w:t>
      </w:r>
      <w:r>
        <w:rPr>
          <w:color w:val="000000"/>
        </w:rPr>
        <w:t xml:space="preserve">bilitación y el seguimiento de cada bebé, niño, niña, joven y adulto serán diferentes en cada caso ya que no todos requieren los mismos tratamientos, pero garantizar el acceso a la información favorecerá mejorar la calidad de vida de aquellas personas que </w:t>
      </w:r>
      <w:r>
        <w:rPr>
          <w:color w:val="000000"/>
        </w:rPr>
        <w:t xml:space="preserve">viven con este </w:t>
      </w:r>
      <w:r>
        <w:t>diagnóstico</w:t>
      </w:r>
      <w:r>
        <w:rPr>
          <w:color w:val="000000"/>
        </w:rPr>
        <w:t xml:space="preserve"> y prevenir gran cantidad de casos;</w:t>
      </w:r>
    </w:p>
    <w:p w:rsidR="0078538B" w:rsidRDefault="0078538B">
      <w:pPr>
        <w:ind w:firstLine="709"/>
      </w:pPr>
    </w:p>
    <w:p w:rsidR="0078538B" w:rsidRDefault="00335345">
      <w:pPr>
        <w:ind w:firstLine="709"/>
      </w:pPr>
      <w:r>
        <w:t>Por lo expuesto, esta Comisión de Salud aconseja la aprobación de la siguiente</w:t>
      </w:r>
    </w:p>
    <w:p w:rsidR="0078538B" w:rsidRDefault="0078538B"/>
    <w:p w:rsidR="0078538B" w:rsidRDefault="0078538B"/>
    <w:p w:rsidR="0078538B" w:rsidRDefault="0078538B"/>
    <w:p w:rsidR="0078538B" w:rsidRDefault="00335345">
      <w:pPr>
        <w:jc w:val="center"/>
        <w:rPr>
          <w:b/>
        </w:rPr>
      </w:pPr>
      <w:bookmarkStart w:id="0" w:name="bookmark=id.gjdgxs" w:colFirst="0" w:colLast="0"/>
      <w:bookmarkEnd w:id="0"/>
      <w:r>
        <w:rPr>
          <w:b/>
        </w:rPr>
        <w:t>DECLARACIÓN</w:t>
      </w:r>
    </w:p>
    <w:p w:rsidR="0078538B" w:rsidRDefault="0078538B">
      <w:pPr>
        <w:rPr>
          <w:b/>
        </w:rPr>
      </w:pPr>
    </w:p>
    <w:p w:rsidR="0078538B" w:rsidRDefault="00335345">
      <w:r>
        <w:lastRenderedPageBreak/>
        <w:t xml:space="preserve">La Legislatura de la Ciudad Autónoma de Buenos Aires conmemora </w:t>
      </w:r>
      <w:r>
        <w:rPr>
          <w:highlight w:val="white"/>
        </w:rPr>
        <w:t>el 25 de Octubre</w:t>
      </w:r>
      <w:r>
        <w:t xml:space="preserve"> el “Día </w:t>
      </w:r>
      <w:r>
        <w:rPr>
          <w:highlight w:val="white"/>
        </w:rPr>
        <w:t>Internacional de la Espina Bífida e Hidrocefalia”.</w:t>
      </w:r>
    </w:p>
    <w:p w:rsidR="0078538B" w:rsidRDefault="0078538B"/>
    <w:p w:rsidR="0078538B" w:rsidRDefault="0078538B"/>
    <w:p w:rsidR="0078538B" w:rsidRDefault="00335345">
      <w:r>
        <w:t>Sala de la Comisión:             de                                              de 2022</w:t>
      </w:r>
    </w:p>
    <w:p w:rsidR="0078538B" w:rsidRDefault="0078538B"/>
    <w:p w:rsidR="0078538B" w:rsidRDefault="0078538B">
      <w:pPr>
        <w:ind w:left="4962"/>
        <w:jc w:val="center"/>
      </w:pPr>
    </w:p>
    <w:p w:rsidR="0078538B" w:rsidRDefault="0078538B">
      <w:pPr>
        <w:ind w:left="4962"/>
        <w:jc w:val="center"/>
      </w:pPr>
    </w:p>
    <w:p w:rsidR="0078538B" w:rsidRDefault="0078538B">
      <w:pPr>
        <w:ind w:left="4962"/>
        <w:jc w:val="center"/>
      </w:pPr>
    </w:p>
    <w:p w:rsidR="0078538B" w:rsidRDefault="0078538B">
      <w:pPr>
        <w:ind w:left="4962"/>
        <w:jc w:val="center"/>
      </w:pPr>
    </w:p>
    <w:p w:rsidR="0078538B" w:rsidRDefault="0078538B">
      <w:pPr>
        <w:ind w:left="4962"/>
        <w:jc w:val="center"/>
      </w:pPr>
    </w:p>
    <w:p w:rsidR="0078538B" w:rsidRDefault="00335345">
      <w:pPr>
        <w:ind w:left="4962"/>
        <w:jc w:val="center"/>
      </w:pPr>
      <w:r>
        <w:t>Bou Pérez, Ana María</w:t>
      </w:r>
    </w:p>
    <w:p w:rsidR="0078538B" w:rsidRDefault="00335345">
      <w:pPr>
        <w:ind w:left="4962"/>
        <w:jc w:val="center"/>
      </w:pPr>
      <w:r>
        <w:t>Presidente</w:t>
      </w:r>
    </w:p>
    <w:p w:rsidR="0078538B" w:rsidRDefault="0078538B"/>
    <w:p w:rsidR="0078538B" w:rsidRDefault="0078538B"/>
    <w:p w:rsidR="0078538B" w:rsidRDefault="0078538B"/>
    <w:p w:rsidR="0078538B" w:rsidRDefault="0078538B"/>
    <w:p w:rsidR="0078538B" w:rsidRDefault="0078538B"/>
    <w:p w:rsidR="0078538B" w:rsidRDefault="00335345">
      <w:pPr>
        <w:tabs>
          <w:tab w:val="left" w:pos="4962"/>
        </w:tabs>
      </w:pPr>
      <w:r>
        <w:t xml:space="preserve">Iañez, Berenice </w:t>
      </w:r>
      <w:r>
        <w:tab/>
        <w:t>Amor, Alejandro</w:t>
      </w:r>
    </w:p>
    <w:p w:rsidR="0078538B" w:rsidRDefault="00335345">
      <w:pPr>
        <w:tabs>
          <w:tab w:val="left" w:pos="4962"/>
        </w:tabs>
      </w:pPr>
      <w:r>
        <w:t>Vicepresidente 1°</w:t>
      </w:r>
    </w:p>
    <w:p w:rsidR="0078538B" w:rsidRDefault="0078538B">
      <w:pPr>
        <w:tabs>
          <w:tab w:val="left" w:pos="4962"/>
        </w:tabs>
      </w:pPr>
    </w:p>
    <w:p w:rsidR="0078538B" w:rsidRDefault="0078538B">
      <w:pPr>
        <w:tabs>
          <w:tab w:val="left" w:pos="4962"/>
        </w:tabs>
      </w:pPr>
    </w:p>
    <w:p w:rsidR="0078538B" w:rsidRDefault="0078538B">
      <w:pPr>
        <w:tabs>
          <w:tab w:val="left" w:pos="4962"/>
        </w:tabs>
      </w:pPr>
    </w:p>
    <w:p w:rsidR="0078538B" w:rsidRDefault="0078538B">
      <w:pPr>
        <w:tabs>
          <w:tab w:val="left" w:pos="4962"/>
        </w:tabs>
      </w:pPr>
    </w:p>
    <w:p w:rsidR="0078538B" w:rsidRDefault="0078538B">
      <w:pPr>
        <w:tabs>
          <w:tab w:val="left" w:pos="4962"/>
        </w:tabs>
      </w:pPr>
    </w:p>
    <w:p w:rsidR="0078538B" w:rsidRDefault="00335345">
      <w:pPr>
        <w:tabs>
          <w:tab w:val="left" w:pos="4962"/>
        </w:tabs>
      </w:pPr>
      <w:r>
        <w:t xml:space="preserve">Arenaza,  Juan Pablo </w:t>
      </w:r>
      <w:r>
        <w:tab/>
        <w:t>Cortina, Roy</w:t>
      </w:r>
    </w:p>
    <w:p w:rsidR="0078538B" w:rsidRDefault="0078538B">
      <w:pPr>
        <w:tabs>
          <w:tab w:val="left" w:pos="4962"/>
        </w:tabs>
      </w:pPr>
    </w:p>
    <w:p w:rsidR="0078538B" w:rsidRDefault="0078538B">
      <w:pPr>
        <w:tabs>
          <w:tab w:val="left" w:pos="4962"/>
        </w:tabs>
      </w:pPr>
    </w:p>
    <w:p w:rsidR="0078538B" w:rsidRDefault="0078538B">
      <w:pPr>
        <w:tabs>
          <w:tab w:val="left" w:pos="4962"/>
        </w:tabs>
      </w:pPr>
    </w:p>
    <w:p w:rsidR="0078538B" w:rsidRDefault="0078538B">
      <w:pPr>
        <w:tabs>
          <w:tab w:val="left" w:pos="4962"/>
        </w:tabs>
      </w:pPr>
    </w:p>
    <w:p w:rsidR="0078538B" w:rsidRDefault="0078538B">
      <w:pPr>
        <w:tabs>
          <w:tab w:val="left" w:pos="4962"/>
        </w:tabs>
      </w:pPr>
    </w:p>
    <w:p w:rsidR="0078538B" w:rsidRDefault="00335345">
      <w:pPr>
        <w:tabs>
          <w:tab w:val="left" w:pos="4962"/>
        </w:tabs>
      </w:pPr>
      <w:r>
        <w:t xml:space="preserve">Daer,  Maia </w:t>
      </w:r>
      <w:r>
        <w:tab/>
        <w:t>De Las Casas, Mercedes</w:t>
      </w:r>
    </w:p>
    <w:p w:rsidR="0078538B" w:rsidRDefault="0078538B">
      <w:pPr>
        <w:tabs>
          <w:tab w:val="left" w:pos="4962"/>
        </w:tabs>
      </w:pPr>
    </w:p>
    <w:p w:rsidR="0078538B" w:rsidRDefault="0078538B">
      <w:pPr>
        <w:tabs>
          <w:tab w:val="left" w:pos="4962"/>
        </w:tabs>
      </w:pPr>
    </w:p>
    <w:p w:rsidR="0078538B" w:rsidRDefault="0078538B">
      <w:pPr>
        <w:tabs>
          <w:tab w:val="left" w:pos="4962"/>
        </w:tabs>
      </w:pPr>
    </w:p>
    <w:p w:rsidR="0078538B" w:rsidRDefault="0078538B">
      <w:pPr>
        <w:tabs>
          <w:tab w:val="left" w:pos="4962"/>
        </w:tabs>
      </w:pPr>
    </w:p>
    <w:p w:rsidR="0078538B" w:rsidRDefault="0078538B">
      <w:pPr>
        <w:tabs>
          <w:tab w:val="left" w:pos="4962"/>
        </w:tabs>
      </w:pPr>
    </w:p>
    <w:p w:rsidR="0078538B" w:rsidRDefault="00335345">
      <w:pPr>
        <w:tabs>
          <w:tab w:val="left" w:pos="4962"/>
        </w:tabs>
      </w:pPr>
      <w:r>
        <w:t xml:space="preserve">Del Gaiso, Juan Facundo </w:t>
      </w:r>
      <w:r>
        <w:tab/>
        <w:t>Michielotto, Paola Vanesa</w:t>
      </w:r>
    </w:p>
    <w:p w:rsidR="0078538B" w:rsidRDefault="0078538B">
      <w:pPr>
        <w:tabs>
          <w:tab w:val="left" w:pos="4962"/>
        </w:tabs>
      </w:pPr>
    </w:p>
    <w:p w:rsidR="0078538B" w:rsidRDefault="0078538B">
      <w:pPr>
        <w:tabs>
          <w:tab w:val="left" w:pos="4962"/>
        </w:tabs>
      </w:pPr>
    </w:p>
    <w:p w:rsidR="0078538B" w:rsidRDefault="0078538B">
      <w:pPr>
        <w:tabs>
          <w:tab w:val="left" w:pos="4962"/>
        </w:tabs>
      </w:pPr>
    </w:p>
    <w:p w:rsidR="0078538B" w:rsidRDefault="0078538B">
      <w:pPr>
        <w:tabs>
          <w:tab w:val="left" w:pos="4962"/>
        </w:tabs>
      </w:pPr>
    </w:p>
    <w:p w:rsidR="0078538B" w:rsidRDefault="0078538B">
      <w:pPr>
        <w:tabs>
          <w:tab w:val="left" w:pos="4962"/>
        </w:tabs>
      </w:pPr>
    </w:p>
    <w:p w:rsidR="0078538B" w:rsidRDefault="00335345">
      <w:pPr>
        <w:tabs>
          <w:tab w:val="left" w:pos="4962"/>
        </w:tabs>
      </w:pPr>
      <w:r>
        <w:t xml:space="preserve">Méndez, María Sol </w:t>
      </w:r>
      <w:r>
        <w:tab/>
        <w:t>Montenegro, Victoria</w:t>
      </w:r>
    </w:p>
    <w:p w:rsidR="0078538B" w:rsidRDefault="0078538B">
      <w:pPr>
        <w:tabs>
          <w:tab w:val="left" w:pos="4962"/>
        </w:tabs>
      </w:pPr>
    </w:p>
    <w:p w:rsidR="0078538B" w:rsidRDefault="0078538B">
      <w:pPr>
        <w:tabs>
          <w:tab w:val="left" w:pos="4962"/>
        </w:tabs>
      </w:pPr>
    </w:p>
    <w:p w:rsidR="0078538B" w:rsidRDefault="0078538B">
      <w:pPr>
        <w:tabs>
          <w:tab w:val="left" w:pos="4962"/>
        </w:tabs>
      </w:pPr>
    </w:p>
    <w:p w:rsidR="0078538B" w:rsidRDefault="0078538B">
      <w:pPr>
        <w:tabs>
          <w:tab w:val="left" w:pos="4962"/>
        </w:tabs>
      </w:pPr>
    </w:p>
    <w:p w:rsidR="0078538B" w:rsidRDefault="0078538B">
      <w:pPr>
        <w:tabs>
          <w:tab w:val="left" w:pos="4962"/>
        </w:tabs>
      </w:pPr>
    </w:p>
    <w:p w:rsidR="0078538B" w:rsidRDefault="00335345">
      <w:pPr>
        <w:tabs>
          <w:tab w:val="left" w:pos="4962"/>
        </w:tabs>
      </w:pPr>
      <w:r>
        <w:t xml:space="preserve">Romero, Claudio Ariel </w:t>
      </w:r>
      <w:r>
        <w:tab/>
        <w:t>Saifert, Leonardo</w:t>
      </w:r>
    </w:p>
    <w:p w:rsidR="0078538B" w:rsidRDefault="0078538B">
      <w:pPr>
        <w:tabs>
          <w:tab w:val="left" w:pos="4962"/>
        </w:tabs>
      </w:pPr>
    </w:p>
    <w:p w:rsidR="0078538B" w:rsidRDefault="0078538B">
      <w:pPr>
        <w:tabs>
          <w:tab w:val="left" w:pos="4962"/>
        </w:tabs>
      </w:pPr>
    </w:p>
    <w:p w:rsidR="0078538B" w:rsidRDefault="0078538B">
      <w:pPr>
        <w:tabs>
          <w:tab w:val="left" w:pos="4962"/>
        </w:tabs>
      </w:pPr>
    </w:p>
    <w:p w:rsidR="0078538B" w:rsidRDefault="0078538B">
      <w:pPr>
        <w:tabs>
          <w:tab w:val="left" w:pos="4962"/>
        </w:tabs>
      </w:pPr>
    </w:p>
    <w:p w:rsidR="0078538B" w:rsidRDefault="0078538B">
      <w:pPr>
        <w:tabs>
          <w:tab w:val="left" w:pos="4962"/>
        </w:tabs>
      </w:pPr>
    </w:p>
    <w:p w:rsidR="0078538B" w:rsidRDefault="00335345">
      <w:pPr>
        <w:tabs>
          <w:tab w:val="left" w:pos="4962"/>
        </w:tabs>
      </w:pPr>
      <w:r>
        <w:t xml:space="preserve">Solano, Gabriel </w:t>
      </w:r>
      <w:r>
        <w:tab/>
        <w:t>Weck, Diego</w:t>
      </w:r>
    </w:p>
    <w:p w:rsidR="0078538B" w:rsidRDefault="0078538B"/>
    <w:sectPr w:rsidR="0078538B" w:rsidSect="0078538B">
      <w:headerReference w:type="default" r:id="rId7"/>
      <w:footerReference w:type="default" r:id="rId8"/>
      <w:pgSz w:w="12242" w:h="20163"/>
      <w:pgMar w:top="2268" w:right="851" w:bottom="1418" w:left="2835" w:header="720" w:footer="720" w:gutter="0"/>
      <w:pgNumType w:start="1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35345" w:rsidRDefault="00335345" w:rsidP="0078538B">
      <w:r>
        <w:separator/>
      </w:r>
    </w:p>
  </w:endnote>
  <w:endnote w:type="continuationSeparator" w:id="1">
    <w:p w:rsidR="00335345" w:rsidRDefault="00335345" w:rsidP="0078538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538B" w:rsidRDefault="0078538B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333333"/>
        <w:sz w:val="20"/>
        <w:szCs w:val="20"/>
      </w:rPr>
    </w:pPr>
    <w:bookmarkStart w:id="1" w:name="bookmark=id.30j0zll" w:colFirst="0" w:colLast="0"/>
  </w:p>
  <w:p w:rsidR="0078538B" w:rsidRDefault="00335345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333333"/>
        <w:sz w:val="20"/>
        <w:szCs w:val="20"/>
      </w:rPr>
    </w:pPr>
    <w:r>
      <w:rPr>
        <w:color w:val="333333"/>
        <w:sz w:val="20"/>
        <w:szCs w:val="20"/>
      </w:rPr>
      <w:t>Último cambio: 26/09/2022 14:19:00  -  Cantidad de caracteres: 3583 - Cantidad de palabras: 663</w:t>
    </w:r>
  </w:p>
  <w:p w:rsidR="0078538B" w:rsidRDefault="00335345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  <w:tab w:val="left" w:pos="3565"/>
      </w:tabs>
      <w:rPr>
        <w:color w:val="333333"/>
      </w:rPr>
    </w:pPr>
    <w:r>
      <w:rPr>
        <w:color w:val="333333"/>
        <w:sz w:val="20"/>
        <w:szCs w:val="20"/>
      </w:rPr>
      <w:tab/>
      <w:t>Pág.</w:t>
    </w:r>
    <w:r>
      <w:rPr>
        <w:color w:val="333333"/>
      </w:rPr>
      <w:t xml:space="preserve"> </w:t>
    </w:r>
    <w:r w:rsidR="0078538B">
      <w:rPr>
        <w:color w:val="333333"/>
      </w:rPr>
      <w:fldChar w:fldCharType="begin"/>
    </w:r>
    <w:r>
      <w:rPr>
        <w:color w:val="333333"/>
      </w:rPr>
      <w:instrText>PAGE</w:instrText>
    </w:r>
    <w:r w:rsidR="00A1006C">
      <w:rPr>
        <w:color w:val="333333"/>
      </w:rPr>
      <w:fldChar w:fldCharType="separate"/>
    </w:r>
    <w:r w:rsidR="00A1006C">
      <w:rPr>
        <w:noProof/>
        <w:color w:val="333333"/>
      </w:rPr>
      <w:t>1</w:t>
    </w:r>
    <w:r w:rsidR="0078538B">
      <w:rPr>
        <w:color w:val="333333"/>
      </w:rPr>
      <w:fldChar w:fldCharType="end"/>
    </w:r>
    <w:r>
      <w:rPr>
        <w:color w:val="333333"/>
      </w:rPr>
      <w:t>/</w:t>
    </w:r>
    <w:r w:rsidR="0078538B">
      <w:rPr>
        <w:color w:val="000000"/>
      </w:rPr>
      <w:fldChar w:fldCharType="begin"/>
    </w:r>
    <w:r>
      <w:rPr>
        <w:color w:val="000000"/>
      </w:rPr>
      <w:instrText>NUMPAGES</w:instrText>
    </w:r>
    <w:r w:rsidR="00A1006C">
      <w:rPr>
        <w:color w:val="000000"/>
      </w:rPr>
      <w:fldChar w:fldCharType="separate"/>
    </w:r>
    <w:r w:rsidR="00A1006C">
      <w:rPr>
        <w:noProof/>
        <w:color w:val="000000"/>
      </w:rPr>
      <w:t>2</w:t>
    </w:r>
    <w:r w:rsidR="0078538B">
      <w:rPr>
        <w:color w:val="000000"/>
      </w:rPr>
      <w:fldChar w:fldCharType="end"/>
    </w:r>
    <w:r>
      <w:rPr>
        <w:color w:val="333333"/>
      </w:rPr>
      <w:t xml:space="preserve"> </w:t>
    </w:r>
  </w:p>
  <w:p w:rsidR="0078538B" w:rsidRDefault="0078538B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333333"/>
        <w:sz w:val="20"/>
        <w:szCs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35345" w:rsidRDefault="00335345" w:rsidP="0078538B">
      <w:r>
        <w:separator/>
      </w:r>
    </w:p>
  </w:footnote>
  <w:footnote w:type="continuationSeparator" w:id="1">
    <w:p w:rsidR="00335345" w:rsidRDefault="00335345" w:rsidP="0078538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538B" w:rsidRDefault="00335345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ind w:left="-2410" w:firstLine="850"/>
      <w:jc w:val="center"/>
      <w:rPr>
        <w:i/>
        <w:color w:val="000000"/>
        <w:sz w:val="18"/>
        <w:szCs w:val="18"/>
      </w:rPr>
    </w:pPr>
    <w:r>
      <w:rPr>
        <w:noProof/>
        <w:color w:val="000000"/>
        <w:lang w:val="es-ES"/>
      </w:rPr>
      <w:drawing>
        <wp:inline distT="0" distB="0" distL="0" distR="0">
          <wp:extent cx="1885950" cy="342900"/>
          <wp:effectExtent l="0" t="0" r="0" b="0"/>
          <wp:docPr id="2" name="image1.jpg" descr="logo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 descr="logo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885950" cy="3429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i/>
        <w:color w:val="000000"/>
        <w:sz w:val="18"/>
        <w:szCs w:val="18"/>
      </w:rPr>
      <w:br/>
    </w:r>
  </w:p>
  <w:p w:rsidR="0078538B" w:rsidRDefault="00335345">
    <w:pPr>
      <w:rPr>
        <w:sz w:val="20"/>
        <w:szCs w:val="20"/>
      </w:rPr>
    </w:pPr>
    <w:r>
      <w:rPr>
        <w:sz w:val="20"/>
        <w:szCs w:val="20"/>
      </w:rPr>
      <w:t>2022 - "Año del 40º aniversario de la guerra de Malvinas. En homenaje a los veteranos y caídos en defensa de las Islas Malvinas y el Atlántico Sur"</w:t>
    </w:r>
  </w:p>
  <w:p w:rsidR="0078538B" w:rsidRDefault="00335345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jc w:val="right"/>
      <w:rPr>
        <w:color w:val="000000"/>
        <w:highlight w:val="white"/>
      </w:rPr>
    </w:pPr>
    <w:r>
      <w:rPr>
        <w:b/>
        <w:i/>
        <w:color w:val="000000"/>
        <w:highlight w:val="white"/>
      </w:rPr>
      <w:t>Referencia</w:t>
    </w:r>
    <w:r>
      <w:rPr>
        <w:i/>
        <w:color w:val="000000"/>
        <w:highlight w:val="white"/>
      </w:rPr>
      <w:t xml:space="preserve">: </w:t>
    </w:r>
    <w:r>
      <w:rPr>
        <w:color w:val="000000"/>
        <w:highlight w:val="white"/>
      </w:rPr>
      <w:t>Expediente N° 374-D-2022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8538B"/>
    <w:rsid w:val="00335345"/>
    <w:rsid w:val="0078538B"/>
    <w:rsid w:val="00A100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4"/>
        <w:szCs w:val="24"/>
        <w:lang w:val="es-ES_tradnl" w:eastAsia="es-E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7D70"/>
  </w:style>
  <w:style w:type="paragraph" w:styleId="Ttulo1">
    <w:name w:val="heading 1"/>
    <w:basedOn w:val="normal0"/>
    <w:next w:val="normal0"/>
    <w:rsid w:val="0078538B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0"/>
    <w:next w:val="normal0"/>
    <w:rsid w:val="0078538B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0"/>
    <w:next w:val="normal0"/>
    <w:rsid w:val="0078538B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0"/>
    <w:next w:val="normal0"/>
    <w:rsid w:val="0078538B"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0"/>
    <w:next w:val="normal0"/>
    <w:rsid w:val="0078538B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0"/>
    <w:next w:val="normal0"/>
    <w:rsid w:val="0078538B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normal0">
    <w:name w:val="normal"/>
    <w:rsid w:val="0078538B"/>
  </w:style>
  <w:style w:type="table" w:customStyle="1" w:styleId="TableNormal">
    <w:name w:val="Table Normal"/>
    <w:rsid w:val="0078538B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0"/>
    <w:next w:val="normal0"/>
    <w:rsid w:val="0078538B"/>
    <w:pPr>
      <w:keepNext/>
      <w:keepLines/>
      <w:spacing w:before="480" w:after="120"/>
    </w:pPr>
    <w:rPr>
      <w:b/>
      <w:sz w:val="72"/>
      <w:szCs w:val="72"/>
    </w:rPr>
  </w:style>
  <w:style w:type="paragraph" w:customStyle="1" w:styleId="redaccin">
    <w:name w:val="redacción"/>
    <w:basedOn w:val="Normal"/>
    <w:next w:val="Normal"/>
    <w:rsid w:val="00F17D70"/>
    <w:pPr>
      <w:ind w:left="3686"/>
    </w:pPr>
  </w:style>
  <w:style w:type="paragraph" w:styleId="Encabezado">
    <w:name w:val="header"/>
    <w:basedOn w:val="Normal"/>
    <w:link w:val="EncabezadoCar"/>
    <w:uiPriority w:val="99"/>
    <w:rsid w:val="00F17D70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rsid w:val="00F17D70"/>
    <w:pPr>
      <w:tabs>
        <w:tab w:val="center" w:pos="4419"/>
        <w:tab w:val="right" w:pos="8838"/>
      </w:tabs>
    </w:pPr>
  </w:style>
  <w:style w:type="character" w:styleId="Nmerodepgina">
    <w:name w:val="page number"/>
    <w:basedOn w:val="Fuentedeprrafopredeter"/>
    <w:rsid w:val="00F17D70"/>
  </w:style>
  <w:style w:type="character" w:customStyle="1" w:styleId="EncabezadoCar">
    <w:name w:val="Encabezado Car"/>
    <w:basedOn w:val="Fuentedeprrafopredeter"/>
    <w:link w:val="Encabezado"/>
    <w:uiPriority w:val="99"/>
    <w:rsid w:val="0033168A"/>
    <w:rPr>
      <w:sz w:val="24"/>
      <w:lang w:val="es-ES_tradn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283017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83017"/>
    <w:rPr>
      <w:rFonts w:ascii="Tahoma" w:hAnsi="Tahoma" w:cs="Tahoma"/>
      <w:sz w:val="16"/>
      <w:szCs w:val="16"/>
      <w:lang w:val="es-ES_tradnl" w:eastAsia="es-ES"/>
    </w:rPr>
  </w:style>
  <w:style w:type="paragraph" w:styleId="Subttulo">
    <w:name w:val="Subtitle"/>
    <w:basedOn w:val="Normal"/>
    <w:next w:val="Normal"/>
    <w:rsid w:val="0078538B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qlzMVb1e/GOVC/5P/d40wTY7l7w==">AMUW2mWS2308Dza4RxRbpLOXWE0iq7cKKPECg48gaXm/dslUsbLvWeXjUrz5hBNlec9Ngy3GKATSImI2SWA2G0dJUYkdYG6A5Yejiz/ULk1fzQR2hSYfU1GFFQP5QU49urVQiKZ0FyRJguWwajylYZeE2cdaD35PBg==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438</Words>
  <Characters>2415</Characters>
  <Application>Microsoft Office Word</Application>
  <DocSecurity>0</DocSecurity>
  <Lines>20</Lines>
  <Paragraphs>5</Paragraphs>
  <ScaleCrop>false</ScaleCrop>
  <Company/>
  <LinksUpToDate>false</LinksUpToDate>
  <CharactersWithSpaces>2848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sipaz</dc:creator>
  <cp:lastModifiedBy>sipaz</cp:lastModifiedBy>
  <cp:revision>2</cp:revision>
  <dcterms:created xsi:type="dcterms:W3CDTF">2022-10-04T15:47:00Z</dcterms:created>
  <dcterms:modified xsi:type="dcterms:W3CDTF">2022-10-04T15:47:00Z</dcterms:modified>
</cp:coreProperties>
</file>