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EDC" w:rsidRPr="00EA2EDC" w:rsidRDefault="00EA2EDC" w:rsidP="00EA2EDC">
      <w:pPr>
        <w:jc w:val="center"/>
        <w:rPr>
          <w:rFonts w:asciiTheme="majorHAnsi" w:hAnsiTheme="majorHAnsi"/>
          <w:szCs w:val="24"/>
          <w:lang w:val="es-US" w:eastAsia="es-US"/>
        </w:rPr>
      </w:pPr>
      <w:r w:rsidRPr="00EA2EDC">
        <w:rPr>
          <w:rFonts w:asciiTheme="majorHAnsi" w:hAnsiTheme="majorHAnsi" w:cs="Calibri"/>
          <w:b/>
          <w:bCs/>
          <w:color w:val="000000"/>
          <w:szCs w:val="24"/>
          <w:lang w:val="es-US" w:eastAsia="es-US"/>
        </w:rPr>
        <w:t>PROYECTO DE DECLARACIÓN</w:t>
      </w:r>
    </w:p>
    <w:p w:rsidR="00EA2EDC" w:rsidRPr="00EA2EDC" w:rsidRDefault="00EA2EDC" w:rsidP="00EA2EDC">
      <w:pPr>
        <w:spacing w:after="240"/>
        <w:jc w:val="left"/>
        <w:rPr>
          <w:rFonts w:asciiTheme="majorHAnsi" w:hAnsiTheme="majorHAnsi"/>
          <w:szCs w:val="24"/>
          <w:lang w:val="es-US" w:eastAsia="es-US"/>
        </w:rPr>
      </w:pPr>
    </w:p>
    <w:p w:rsidR="00EA2EDC" w:rsidRPr="00EA2EDC" w:rsidRDefault="00EA2EDC" w:rsidP="00EA2EDC">
      <w:pPr>
        <w:ind w:firstLine="720"/>
        <w:rPr>
          <w:rFonts w:asciiTheme="majorHAnsi" w:hAnsiTheme="majorHAnsi"/>
          <w:szCs w:val="24"/>
          <w:lang w:val="es-US" w:eastAsia="es-US"/>
        </w:rPr>
      </w:pPr>
      <w:r w:rsidRPr="00EA2EDC">
        <w:rPr>
          <w:rFonts w:asciiTheme="majorHAnsi" w:hAnsiTheme="majorHAnsi" w:cs="Calibri"/>
          <w:color w:val="000000"/>
          <w:szCs w:val="24"/>
          <w:shd w:val="clear" w:color="auto" w:fill="FFFFFF"/>
          <w:lang w:val="es-US" w:eastAsia="es-US"/>
        </w:rPr>
        <w:t xml:space="preserve">La legislatura de la Ciudad Autónoma de la Ciudad de Buenos Aires declara de interés educativo el </w:t>
      </w:r>
      <w:r w:rsidRPr="00EA2EDC">
        <w:rPr>
          <w:rFonts w:asciiTheme="majorHAnsi" w:hAnsiTheme="majorHAnsi" w:cs="Calibri"/>
          <w:color w:val="000000"/>
          <w:szCs w:val="24"/>
          <w:lang w:val="es-US" w:eastAsia="es-US"/>
        </w:rPr>
        <w:t>XXVII Congreso Pedagógico 2022 “Pedagogías en comunidad. Lecturas, autorías, escrituras en acción”</w:t>
      </w:r>
      <w:r w:rsidRPr="00EA2EDC">
        <w:rPr>
          <w:rFonts w:asciiTheme="majorHAnsi" w:hAnsiTheme="majorHAnsi" w:cs="Calibri"/>
          <w:b/>
          <w:bCs/>
          <w:color w:val="000000"/>
          <w:szCs w:val="24"/>
          <w:lang w:val="es-US" w:eastAsia="es-US"/>
        </w:rPr>
        <w:t xml:space="preserve"> </w:t>
      </w:r>
      <w:r w:rsidRPr="00EA2EDC">
        <w:rPr>
          <w:rFonts w:asciiTheme="majorHAnsi" w:hAnsiTheme="majorHAnsi" w:cs="Calibri"/>
          <w:color w:val="000000"/>
          <w:szCs w:val="24"/>
          <w:shd w:val="clear" w:color="auto" w:fill="FFFFFF"/>
          <w:lang w:val="es-US" w:eastAsia="es-US"/>
        </w:rPr>
        <w:t>organizado por la Unión de Trabajadores de la Educación (UTE), que se desarrolla desde junio</w:t>
      </w:r>
      <w:r w:rsidRPr="00EA2EDC">
        <w:rPr>
          <w:rFonts w:asciiTheme="majorHAnsi" w:hAnsiTheme="majorHAnsi" w:cs="Calibri"/>
          <w:color w:val="000000"/>
          <w:szCs w:val="24"/>
          <w:lang w:val="es-US" w:eastAsia="es-US"/>
        </w:rPr>
        <w:t xml:space="preserve"> hasta diciembre de 2022 con participación a distancia y presentación de trabajos escritos por docentes de diferentes niveles y modalidades del Sistema Educativo que integrarán una publicación periódica.</w:t>
      </w: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bookmarkStart w:id="0" w:name="_GoBack"/>
      <w:bookmarkEnd w:id="0"/>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Default="00EA2EDC" w:rsidP="00EA2EDC">
      <w:pPr>
        <w:jc w:val="left"/>
        <w:rPr>
          <w:rFonts w:asciiTheme="majorHAnsi" w:hAnsiTheme="majorHAnsi"/>
          <w:szCs w:val="24"/>
          <w:lang w:val="es-US" w:eastAsia="es-US"/>
        </w:rPr>
      </w:pPr>
    </w:p>
    <w:p w:rsidR="00EA2EDC" w:rsidRPr="00EA2EDC" w:rsidRDefault="00EA2EDC" w:rsidP="00EA2EDC">
      <w:pPr>
        <w:jc w:val="left"/>
        <w:rPr>
          <w:rFonts w:asciiTheme="majorHAnsi" w:hAnsiTheme="majorHAnsi"/>
          <w:szCs w:val="24"/>
          <w:lang w:val="es-US" w:eastAsia="es-US"/>
        </w:rPr>
      </w:pPr>
    </w:p>
    <w:p w:rsidR="00EA2EDC" w:rsidRPr="00EA2EDC" w:rsidRDefault="00EA2EDC" w:rsidP="00EA2EDC">
      <w:pPr>
        <w:spacing w:after="160"/>
        <w:jc w:val="center"/>
        <w:rPr>
          <w:rFonts w:asciiTheme="majorHAnsi" w:hAnsiTheme="majorHAnsi"/>
          <w:szCs w:val="24"/>
          <w:lang w:val="es-US" w:eastAsia="es-US"/>
        </w:rPr>
      </w:pPr>
      <w:r w:rsidRPr="00EA2EDC">
        <w:rPr>
          <w:rFonts w:asciiTheme="majorHAnsi" w:hAnsiTheme="majorHAnsi" w:cs="Calibri"/>
          <w:b/>
          <w:bCs/>
          <w:color w:val="000000"/>
          <w:szCs w:val="24"/>
          <w:lang w:val="es-US" w:eastAsia="es-US"/>
        </w:rPr>
        <w:lastRenderedPageBreak/>
        <w:t>FUNDAMENTOS</w:t>
      </w:r>
    </w:p>
    <w:p w:rsidR="00EA2EDC" w:rsidRPr="00EA2EDC" w:rsidRDefault="00EA2EDC" w:rsidP="00EA2EDC">
      <w:pPr>
        <w:spacing w:after="160"/>
        <w:jc w:val="left"/>
        <w:rPr>
          <w:rFonts w:asciiTheme="majorHAnsi" w:hAnsiTheme="majorHAnsi"/>
          <w:szCs w:val="24"/>
          <w:lang w:val="es-US" w:eastAsia="es-US"/>
        </w:rPr>
      </w:pPr>
      <w:r w:rsidRPr="00EA2EDC">
        <w:rPr>
          <w:rFonts w:asciiTheme="majorHAnsi" w:hAnsiTheme="majorHAnsi" w:cs="Calibri"/>
          <w:color w:val="000000"/>
          <w:szCs w:val="24"/>
          <w:lang w:val="es-US" w:eastAsia="es-US"/>
        </w:rPr>
        <w:t>Señor Presidente: </w:t>
      </w:r>
    </w:p>
    <w:p w:rsidR="00EA2EDC" w:rsidRPr="00EA2EDC" w:rsidRDefault="00EA2EDC" w:rsidP="00EA2EDC">
      <w:pPr>
        <w:spacing w:after="160"/>
        <w:ind w:firstLine="720"/>
        <w:rPr>
          <w:rFonts w:asciiTheme="majorHAnsi" w:hAnsiTheme="majorHAnsi"/>
          <w:szCs w:val="24"/>
          <w:lang w:val="es-US" w:eastAsia="es-US"/>
        </w:rPr>
      </w:pPr>
      <w:r w:rsidRPr="00EA2EDC">
        <w:rPr>
          <w:rFonts w:asciiTheme="majorHAnsi" w:hAnsiTheme="majorHAnsi" w:cs="Calibri"/>
          <w:color w:val="000000"/>
          <w:szCs w:val="24"/>
          <w:lang w:val="es-US" w:eastAsia="es-US"/>
        </w:rPr>
        <w:t xml:space="preserve">Este proyecto tiene como objeto destacar </w:t>
      </w:r>
      <w:r w:rsidRPr="00EA2EDC">
        <w:rPr>
          <w:rFonts w:asciiTheme="majorHAnsi" w:hAnsiTheme="majorHAnsi" w:cs="Calibri"/>
          <w:color w:val="000000"/>
          <w:szCs w:val="24"/>
          <w:shd w:val="clear" w:color="auto" w:fill="FFFFFF"/>
          <w:lang w:val="es-US" w:eastAsia="es-US"/>
        </w:rPr>
        <w:t xml:space="preserve">el </w:t>
      </w:r>
      <w:r w:rsidRPr="00EA2EDC">
        <w:rPr>
          <w:rFonts w:asciiTheme="majorHAnsi" w:hAnsiTheme="majorHAnsi" w:cs="Calibri"/>
          <w:color w:val="000000"/>
          <w:szCs w:val="24"/>
          <w:lang w:val="es-US" w:eastAsia="es-US"/>
        </w:rPr>
        <w:t>XXVII Congreso Pedagógico 2022 “Pedagogías en comunidad. Lecturas, autorías, escrituras en acción”</w:t>
      </w:r>
      <w:r w:rsidRPr="00EA2EDC">
        <w:rPr>
          <w:rFonts w:asciiTheme="majorHAnsi" w:hAnsiTheme="majorHAnsi" w:cs="Calibri"/>
          <w:b/>
          <w:bCs/>
          <w:color w:val="000000"/>
          <w:szCs w:val="24"/>
          <w:lang w:val="es-US" w:eastAsia="es-US"/>
        </w:rPr>
        <w:t xml:space="preserve"> </w:t>
      </w:r>
      <w:r w:rsidRPr="00EA2EDC">
        <w:rPr>
          <w:rFonts w:asciiTheme="majorHAnsi" w:hAnsiTheme="majorHAnsi" w:cs="Calibri"/>
          <w:color w:val="000000"/>
          <w:szCs w:val="24"/>
          <w:shd w:val="clear" w:color="auto" w:fill="FFFFFF"/>
          <w:lang w:val="es-US" w:eastAsia="es-US"/>
        </w:rPr>
        <w:t>organizado por la Unión de Trabajadores de la Educación (UTE</w:t>
      </w:r>
      <w:r w:rsidRPr="00EA2EDC">
        <w:rPr>
          <w:rFonts w:asciiTheme="majorHAnsi" w:hAnsiTheme="majorHAnsi" w:cs="Calibri"/>
          <w:color w:val="000000"/>
          <w:szCs w:val="24"/>
          <w:lang w:val="es-US" w:eastAsia="es-US"/>
        </w:rPr>
        <w:t xml:space="preserve">). El congreso propone a las y los participantes </w:t>
      </w:r>
      <w:r w:rsidRPr="00EA2EDC">
        <w:rPr>
          <w:rFonts w:asciiTheme="majorHAnsi" w:hAnsiTheme="majorHAnsi" w:cs="Calibri"/>
          <w:color w:val="000000"/>
          <w:sz w:val="23"/>
          <w:szCs w:val="23"/>
          <w:lang w:val="es-US" w:eastAsia="es-US"/>
        </w:rPr>
        <w:t>poner en juego saberes desde las propias lecturas y las de otras y otros, reconociendo autorías en la construcción colectiva del conocimiento, recuperando y desarrollando escrituras en acción por la educación pública. Es un espacio para repensar pedagogías que hacemos con otros y otras, construyendo comunidades-conocimientos.</w:t>
      </w:r>
    </w:p>
    <w:p w:rsidR="00EA2EDC" w:rsidRPr="00EA2EDC" w:rsidRDefault="00EA2EDC" w:rsidP="00EA2EDC">
      <w:pPr>
        <w:ind w:firstLine="720"/>
        <w:rPr>
          <w:rFonts w:asciiTheme="majorHAnsi" w:hAnsiTheme="majorHAnsi"/>
          <w:szCs w:val="24"/>
          <w:lang w:val="es-US" w:eastAsia="es-US"/>
        </w:rPr>
      </w:pPr>
      <w:r w:rsidRPr="00EA2EDC">
        <w:rPr>
          <w:rFonts w:asciiTheme="majorHAnsi" w:hAnsiTheme="majorHAnsi" w:cs="Calibri"/>
          <w:color w:val="141414"/>
          <w:szCs w:val="24"/>
          <w:lang w:val="es-US" w:eastAsia="es-US"/>
        </w:rPr>
        <w:t>Los Congresos Pedagógicos de UTE favorecen el trabajo reflexivo, crítico, creativo que convoca a los docentes cada día en las aulas, desde y para cada comunidad educativa. Los primeros congresos se realizaron a fines de los años noventa. Durante treinta años se desarrollaron veintisiete congresos en los cuales los y las docentes de la ciudad han escrito y presentado sus ponencias que integran publicaciones anuales.  </w:t>
      </w:r>
    </w:p>
    <w:p w:rsidR="00EA2EDC" w:rsidRPr="00EA2EDC" w:rsidRDefault="00EA2EDC" w:rsidP="00EA2EDC">
      <w:pPr>
        <w:ind w:firstLine="720"/>
        <w:rPr>
          <w:rFonts w:asciiTheme="majorHAnsi" w:hAnsiTheme="majorHAnsi"/>
          <w:szCs w:val="24"/>
          <w:lang w:val="es-US" w:eastAsia="es-US"/>
        </w:rPr>
      </w:pPr>
      <w:r w:rsidRPr="00EA2EDC">
        <w:rPr>
          <w:rFonts w:asciiTheme="majorHAnsi" w:hAnsiTheme="majorHAnsi" w:cs="Calibri"/>
          <w:color w:val="141414"/>
          <w:szCs w:val="24"/>
          <w:lang w:val="es-US" w:eastAsia="es-US"/>
        </w:rPr>
        <w:t>Los congresos son un espacio consolidado de gran valor formativo impulsando el trabajo colectivo y los procesos de escritura entre docentes que pertenecen a distintos niveles y modalidades del sistema educativo de CABA. El XXVI Congreso Pedagógico 2021 "Colectivos y comunidades que hacen y piensan la educación pública. Autores, lectores y actores" fue Declarado de interés educativo por la Legislatura de la Ciudad de Buenos Aires, Declaración N° 216/2021, Expediente 1515-D-2021. También fue Declarado de interés por el Consejo Directivo de la Facultad de Filosofía y Letras, UBA, Resolución RESCD-2021-2853-E-UBA-DCT#FFYL CIUDAD DE BUENOS AIRES y por el Consejo Superior de la Universidad Metropolitana para la Educación y el Trabajo.</w:t>
      </w:r>
    </w:p>
    <w:p w:rsidR="00EA2EDC" w:rsidRPr="00EA2EDC" w:rsidRDefault="00EA2EDC" w:rsidP="00EA2EDC">
      <w:pPr>
        <w:ind w:firstLine="720"/>
        <w:rPr>
          <w:rFonts w:asciiTheme="majorHAnsi" w:hAnsiTheme="majorHAnsi"/>
          <w:szCs w:val="24"/>
          <w:lang w:val="es-US" w:eastAsia="es-US"/>
        </w:rPr>
      </w:pPr>
      <w:r w:rsidRPr="00EA2EDC">
        <w:rPr>
          <w:rFonts w:asciiTheme="majorHAnsi" w:hAnsiTheme="majorHAnsi" w:cs="Calibri"/>
          <w:color w:val="141414"/>
          <w:szCs w:val="24"/>
          <w:lang w:val="es-US" w:eastAsia="es-US"/>
        </w:rPr>
        <w:t>Este XXVII Congreso Pedagógico 2022 propone retomar y repensar entonces experiencias de construcción de autorías en la propia trayectoria de formación docente, recuperar aquellos escritos propios donde se ponen en juego voces individuales, grupales, acuerdos comunitarios e institucionales; se favorece un repensar escritos propios o de otros colegas que puedan aportar al debate en este espacio pedagógico-sindical durante el año en curso. Los intercambios en el congreso son una oportunidad para desarrollar autorías para seguir construyendo pedagogías y pensamiento latinoamericano. </w:t>
      </w:r>
    </w:p>
    <w:p w:rsidR="00EA2EDC" w:rsidRPr="00EA2EDC" w:rsidRDefault="00EA2EDC" w:rsidP="00EA2EDC">
      <w:pPr>
        <w:jc w:val="left"/>
        <w:rPr>
          <w:rFonts w:asciiTheme="majorHAnsi" w:hAnsiTheme="majorHAnsi"/>
          <w:szCs w:val="24"/>
          <w:lang w:val="es-US" w:eastAsia="es-US"/>
        </w:rPr>
      </w:pPr>
    </w:p>
    <w:p w:rsidR="00EA2EDC" w:rsidRPr="00EA2EDC" w:rsidRDefault="00EA2EDC" w:rsidP="00EA2EDC">
      <w:pPr>
        <w:spacing w:after="200"/>
        <w:ind w:firstLine="720"/>
        <w:rPr>
          <w:rFonts w:asciiTheme="majorHAnsi" w:hAnsiTheme="majorHAnsi"/>
          <w:szCs w:val="24"/>
          <w:lang w:val="es-US" w:eastAsia="es-US"/>
        </w:rPr>
      </w:pPr>
      <w:r w:rsidRPr="00EA2EDC">
        <w:rPr>
          <w:rFonts w:asciiTheme="majorHAnsi" w:hAnsiTheme="majorHAnsi" w:cs="Calibri"/>
          <w:color w:val="141414"/>
          <w:szCs w:val="24"/>
          <w:lang w:val="es-US" w:eastAsia="es-US"/>
        </w:rPr>
        <w:t>Los congresos invitan a una relectura de pedagogos y pensadores latinoamericanos,  no necesariamente para "confirmarlos”. Una lectura crítica implica reconocer con quiénes se estaba discutiendo en cada contexto y recuperar aportes para comprender las discusiones actuales. Nos parece fundamental la propuesta de Lidia Mercedes Rodríguez de leer los textos freireanos y de otros autores ubicándolos en su contexto, recorriendo el proceso de construcción de su pensamiento. La perspectiva histórica ayuda a leer su obra desnaturalizando, des-sedimentando sus propuestas, en fin, permitiéndose la crítica, intentando comprender al intelectual en el marco coyuntural en el que trabajó para leerlo no como Manual sino como un clásico, siempre disponible para nuevas interpretaciones y reformulaciones.</w:t>
      </w:r>
    </w:p>
    <w:p w:rsidR="00EA2EDC" w:rsidRPr="00EA2EDC" w:rsidRDefault="00EA2EDC" w:rsidP="00EA2EDC">
      <w:pPr>
        <w:ind w:firstLine="720"/>
        <w:rPr>
          <w:rFonts w:asciiTheme="majorHAnsi" w:hAnsiTheme="majorHAnsi"/>
          <w:szCs w:val="24"/>
          <w:lang w:val="es-US" w:eastAsia="es-US"/>
        </w:rPr>
      </w:pPr>
      <w:r w:rsidRPr="00EA2EDC">
        <w:rPr>
          <w:rFonts w:asciiTheme="majorHAnsi" w:hAnsiTheme="majorHAnsi" w:cs="Calibri"/>
          <w:color w:val="141414"/>
          <w:szCs w:val="24"/>
          <w:lang w:val="es-US" w:eastAsia="es-US"/>
        </w:rPr>
        <w:t xml:space="preserve">Este año el énfasis se centrará en la recuperación de la propia trayectoria formativa docente, abriendo el juego a reencontrarnos con escritos realizados en diferentes contextos, enfoques y marcos formativos, releerlos, repensarlos, conversar con ellos desde el contexto actual en diálogo con el marco del congreso 2022. En tiempos donde los intentos de fragmentación se sienten en el cuerpo, en el aula y en la institución invitamos a construirnos y reconstruirnos en el trazo de las </w:t>
      </w:r>
      <w:r w:rsidRPr="00EA2EDC">
        <w:rPr>
          <w:rFonts w:asciiTheme="majorHAnsi" w:hAnsiTheme="majorHAnsi" w:cs="Calibri"/>
          <w:color w:val="141414"/>
          <w:szCs w:val="24"/>
          <w:lang w:val="es-US" w:eastAsia="es-US"/>
        </w:rPr>
        <w:lastRenderedPageBreak/>
        <w:t xml:space="preserve">letras escritas, haciendo ellas mismas un espejo de </w:t>
      </w:r>
      <w:r w:rsidRPr="00EA2EDC">
        <w:rPr>
          <w:rFonts w:asciiTheme="majorHAnsi" w:hAnsiTheme="majorHAnsi" w:cs="Calibri"/>
          <w:color w:val="000000"/>
          <w:szCs w:val="24"/>
          <w:lang w:val="es-US" w:eastAsia="es-US"/>
        </w:rPr>
        <w:t>nuestro</w:t>
      </w:r>
      <w:r w:rsidRPr="00EA2EDC">
        <w:rPr>
          <w:rFonts w:asciiTheme="majorHAnsi" w:hAnsiTheme="majorHAnsi" w:cs="Calibri"/>
          <w:color w:val="141414"/>
          <w:szCs w:val="24"/>
          <w:lang w:val="es-US" w:eastAsia="es-US"/>
        </w:rPr>
        <w:t xml:space="preserve"> trabajo y tejiendo nuevamente las redes con les otres. Comenzar a leernos puede ser la pausa necesaria para repensarnos colectivamente. </w:t>
      </w:r>
    </w:p>
    <w:p w:rsidR="00EA2EDC" w:rsidRPr="00EA2EDC" w:rsidRDefault="00EA2EDC" w:rsidP="00EA2EDC">
      <w:pPr>
        <w:ind w:firstLine="720"/>
        <w:rPr>
          <w:rFonts w:asciiTheme="majorHAnsi" w:hAnsiTheme="majorHAnsi"/>
          <w:szCs w:val="24"/>
          <w:lang w:val="es-US" w:eastAsia="es-US"/>
        </w:rPr>
      </w:pPr>
      <w:r w:rsidRPr="00EA2EDC">
        <w:rPr>
          <w:rFonts w:asciiTheme="majorHAnsi" w:hAnsiTheme="majorHAnsi" w:cs="Calibri"/>
          <w:color w:val="000000"/>
          <w:szCs w:val="24"/>
          <w:lang w:val="es-US" w:eastAsia="es-US"/>
        </w:rPr>
        <w:t>Este XXVII Congreso se desarrolla desde junio a diciembre de 2022. Desde noviembre se abordan las versiones finales de los escritos presentados para que cumplan con los requisitos necesarios para integrar la publicación periódica ISSN2718-6725. Al recuperar experiencias, reflexiones, preguntas y escritos, se habilita una escritura que sepa más de nuestras comunidades, de nuestros estudiantes y de nuestro trabajo docente.  </w:t>
      </w:r>
    </w:p>
    <w:p w:rsidR="00EA2EDC" w:rsidRPr="00EA2EDC" w:rsidRDefault="00EA2EDC" w:rsidP="00EA2EDC">
      <w:pPr>
        <w:jc w:val="left"/>
        <w:rPr>
          <w:rFonts w:asciiTheme="majorHAnsi" w:hAnsiTheme="majorHAnsi"/>
          <w:szCs w:val="24"/>
          <w:lang w:val="es-US" w:eastAsia="es-US"/>
        </w:rPr>
      </w:pPr>
    </w:p>
    <w:p w:rsidR="00EA2EDC" w:rsidRPr="00EA2EDC" w:rsidRDefault="00EA2EDC" w:rsidP="00EA2EDC">
      <w:pPr>
        <w:ind w:firstLine="720"/>
        <w:rPr>
          <w:rFonts w:asciiTheme="majorHAnsi" w:hAnsiTheme="majorHAnsi"/>
          <w:szCs w:val="24"/>
          <w:lang w:val="es-US" w:eastAsia="es-US"/>
        </w:rPr>
      </w:pPr>
      <w:r w:rsidRPr="00EA2EDC">
        <w:rPr>
          <w:rFonts w:asciiTheme="majorHAnsi" w:hAnsiTheme="majorHAnsi" w:cs="Calibri"/>
          <w:color w:val="000000"/>
          <w:szCs w:val="24"/>
          <w:lang w:val="es-US" w:eastAsia="es-US"/>
        </w:rPr>
        <w:t>Por todo lo expuesto, se solicita la aprobación del presente proyecto de declaración. </w:t>
      </w:r>
    </w:p>
    <w:p w:rsidR="005E3C49" w:rsidRPr="00EA2EDC" w:rsidRDefault="005E3C49" w:rsidP="00EA2EDC">
      <w:pPr>
        <w:rPr>
          <w:lang w:val="es-US"/>
        </w:rPr>
      </w:pPr>
    </w:p>
    <w:sectPr w:rsidR="005E3C49" w:rsidRPr="00EA2EDC"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F04" w:rsidRDefault="006E7F04">
      <w:r>
        <w:separator/>
      </w:r>
    </w:p>
  </w:endnote>
  <w:endnote w:type="continuationSeparator" w:id="0">
    <w:p w:rsidR="006E7F04" w:rsidRDefault="006E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6E7F04">
      <w:fldChar w:fldCharType="begin"/>
    </w:r>
    <w:r w:rsidR="006E7F04">
      <w:instrText xml:space="preserve"> SAVEDATE  \* MERGEFORMAT </w:instrText>
    </w:r>
    <w:r w:rsidR="006E7F04">
      <w:fldChar w:fldCharType="separate"/>
    </w:r>
    <w:r w:rsidR="00EA2EDC" w:rsidRPr="00EA2EDC">
      <w:rPr>
        <w:noProof/>
        <w:color w:val="333333"/>
        <w:sz w:val="20"/>
      </w:rPr>
      <w:t>22/06/2022 10:59:00</w:t>
    </w:r>
    <w:r w:rsidR="006E7F04">
      <w:rPr>
        <w:noProof/>
        <w:color w:val="333333"/>
        <w:sz w:val="20"/>
      </w:rPr>
      <w:fldChar w:fldCharType="end"/>
    </w:r>
    <w:r w:rsidRPr="001C19C4">
      <w:rPr>
        <w:color w:val="333333"/>
        <w:sz w:val="20"/>
      </w:rPr>
      <w:t xml:space="preserve">  -  Cantidad de caracteres: </w:t>
    </w:r>
    <w:r w:rsidR="006E7F04">
      <w:fldChar w:fldCharType="begin"/>
    </w:r>
    <w:r w:rsidR="006E7F04">
      <w:instrText xml:space="preserve"> NUMCHARS  \* MERGEFORMAT </w:instrText>
    </w:r>
    <w:r w:rsidR="006E7F04">
      <w:fldChar w:fldCharType="separate"/>
    </w:r>
    <w:r w:rsidR="00EA2EDC" w:rsidRPr="00EA2EDC">
      <w:rPr>
        <w:noProof/>
        <w:color w:val="333333"/>
        <w:sz w:val="20"/>
      </w:rPr>
      <w:t>4155</w:t>
    </w:r>
    <w:r w:rsidR="006E7F04">
      <w:rPr>
        <w:noProof/>
        <w:color w:val="333333"/>
        <w:sz w:val="20"/>
      </w:rPr>
      <w:fldChar w:fldCharType="end"/>
    </w:r>
    <w:r w:rsidRPr="001C19C4">
      <w:rPr>
        <w:color w:val="333333"/>
        <w:sz w:val="20"/>
      </w:rPr>
      <w:t xml:space="preserve"> - Cantidad de palabras: </w:t>
    </w:r>
    <w:r w:rsidR="006E7F04">
      <w:fldChar w:fldCharType="begin"/>
    </w:r>
    <w:r w:rsidR="006E7F04">
      <w:instrText xml:space="preserve"> NUMWORDS  \* MERGEFORMAT </w:instrText>
    </w:r>
    <w:r w:rsidR="006E7F04">
      <w:fldChar w:fldCharType="separate"/>
    </w:r>
    <w:r w:rsidR="00EA2EDC" w:rsidRPr="00EA2EDC">
      <w:rPr>
        <w:noProof/>
        <w:color w:val="333333"/>
        <w:sz w:val="20"/>
      </w:rPr>
      <w:t>704</w:t>
    </w:r>
    <w:r w:rsidR="006E7F04">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EA2EDC">
      <w:rPr>
        <w:rStyle w:val="Nmerodepgina"/>
        <w:noProof/>
        <w:color w:val="333333"/>
      </w:rPr>
      <w:t>2</w:t>
    </w:r>
    <w:r w:rsidR="00C04F8C" w:rsidRPr="001C19C4">
      <w:rPr>
        <w:rStyle w:val="Nmerodepgina"/>
        <w:color w:val="333333"/>
      </w:rPr>
      <w:fldChar w:fldCharType="end"/>
    </w:r>
    <w:r w:rsidRPr="001C19C4">
      <w:rPr>
        <w:rStyle w:val="Nmerodepgina"/>
        <w:color w:val="333333"/>
      </w:rPr>
      <w:t>/</w:t>
    </w:r>
    <w:r w:rsidR="006E7F04">
      <w:fldChar w:fldCharType="begin"/>
    </w:r>
    <w:r w:rsidR="006E7F04">
      <w:instrText xml:space="preserve"> NUMPAGES  \* MERGEFORMAT </w:instrText>
    </w:r>
    <w:r w:rsidR="006E7F04">
      <w:fldChar w:fldCharType="separate"/>
    </w:r>
    <w:r w:rsidR="00EA2EDC" w:rsidRPr="00EA2EDC">
      <w:rPr>
        <w:rStyle w:val="Nmerodepgina"/>
        <w:noProof/>
        <w:color w:val="333333"/>
      </w:rPr>
      <w:t>3</w:t>
    </w:r>
    <w:r w:rsidR="006E7F04">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F04" w:rsidRDefault="006E7F04">
      <w:r>
        <w:separator/>
      </w:r>
    </w:p>
  </w:footnote>
  <w:footnote w:type="continuationSeparator" w:id="0">
    <w:p w:rsidR="006E7F04" w:rsidRDefault="006E7F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7672E"/>
    <w:multiLevelType w:val="multilevel"/>
    <w:tmpl w:val="55809F3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65A952AC"/>
    <w:multiLevelType w:val="multilevel"/>
    <w:tmpl w:val="A5DC598C"/>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74B05A2E"/>
    <w:multiLevelType w:val="multilevel"/>
    <w:tmpl w:val="DA5EF5C2"/>
    <w:lvl w:ilvl="0">
      <w:start w:val="1"/>
      <w:numFmt w:val="lowerLetter"/>
      <w:lvlText w:val="%1."/>
      <w:lvlJc w:val="left"/>
      <w:pPr>
        <w:ind w:left="1440" w:hanging="731"/>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nsid w:val="7BEF469B"/>
    <w:multiLevelType w:val="multilevel"/>
    <w:tmpl w:val="DAC2F3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2"/>
  </w:num>
  <w:num w:numId="2">
    <w:abstractNumId w:val="1"/>
  </w:num>
  <w:num w:numId="3">
    <w:abstractNumId w:val="4"/>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165E"/>
    <w:rsid w:val="0003615C"/>
    <w:rsid w:val="000376AB"/>
    <w:rsid w:val="00043882"/>
    <w:rsid w:val="00062864"/>
    <w:rsid w:val="00067370"/>
    <w:rsid w:val="000709D1"/>
    <w:rsid w:val="000713D7"/>
    <w:rsid w:val="00071CFB"/>
    <w:rsid w:val="00077DAC"/>
    <w:rsid w:val="00080837"/>
    <w:rsid w:val="00081FFF"/>
    <w:rsid w:val="00085D07"/>
    <w:rsid w:val="00096BE3"/>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200B"/>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0F1F"/>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0DE8"/>
    <w:rsid w:val="005E3C49"/>
    <w:rsid w:val="005F35E2"/>
    <w:rsid w:val="00601A75"/>
    <w:rsid w:val="00616F70"/>
    <w:rsid w:val="00622DE5"/>
    <w:rsid w:val="00636BE0"/>
    <w:rsid w:val="0064363E"/>
    <w:rsid w:val="006552F0"/>
    <w:rsid w:val="006811D6"/>
    <w:rsid w:val="00690392"/>
    <w:rsid w:val="00697F98"/>
    <w:rsid w:val="006C326A"/>
    <w:rsid w:val="006C40E9"/>
    <w:rsid w:val="006D3303"/>
    <w:rsid w:val="006D5CB7"/>
    <w:rsid w:val="006E3675"/>
    <w:rsid w:val="006E7F04"/>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6169"/>
    <w:rsid w:val="00AE2E8F"/>
    <w:rsid w:val="00AF5760"/>
    <w:rsid w:val="00AF6352"/>
    <w:rsid w:val="00B05649"/>
    <w:rsid w:val="00B1723C"/>
    <w:rsid w:val="00B177FE"/>
    <w:rsid w:val="00B264C1"/>
    <w:rsid w:val="00B30B8E"/>
    <w:rsid w:val="00B31B65"/>
    <w:rsid w:val="00B36178"/>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11"/>
    <w:rsid w:val="00E30CFF"/>
    <w:rsid w:val="00E55186"/>
    <w:rsid w:val="00E5658D"/>
    <w:rsid w:val="00E615F1"/>
    <w:rsid w:val="00E63146"/>
    <w:rsid w:val="00E64A1D"/>
    <w:rsid w:val="00E74920"/>
    <w:rsid w:val="00E81EE5"/>
    <w:rsid w:val="00E91F21"/>
    <w:rsid w:val="00EA2EDC"/>
    <w:rsid w:val="00EB6956"/>
    <w:rsid w:val="00EC643D"/>
    <w:rsid w:val="00EE6672"/>
    <w:rsid w:val="00EF0D22"/>
    <w:rsid w:val="00F13C69"/>
    <w:rsid w:val="00F41DF6"/>
    <w:rsid w:val="00F52245"/>
    <w:rsid w:val="00F5569F"/>
    <w:rsid w:val="00F57DD9"/>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961741">
      <w:bodyDiv w:val="1"/>
      <w:marLeft w:val="0"/>
      <w:marRight w:val="0"/>
      <w:marTop w:val="0"/>
      <w:marBottom w:val="0"/>
      <w:divBdr>
        <w:top w:val="none" w:sz="0" w:space="0" w:color="auto"/>
        <w:left w:val="none" w:sz="0" w:space="0" w:color="auto"/>
        <w:bottom w:val="none" w:sz="0" w:space="0" w:color="auto"/>
        <w:right w:val="none" w:sz="0" w:space="0" w:color="auto"/>
      </w:divBdr>
    </w:div>
    <w:div w:id="934510535">
      <w:bodyDiv w:val="1"/>
      <w:marLeft w:val="0"/>
      <w:marRight w:val="0"/>
      <w:marTop w:val="0"/>
      <w:marBottom w:val="0"/>
      <w:divBdr>
        <w:top w:val="none" w:sz="0" w:space="0" w:color="auto"/>
        <w:left w:val="none" w:sz="0" w:space="0" w:color="auto"/>
        <w:bottom w:val="none" w:sz="0" w:space="0" w:color="auto"/>
        <w:right w:val="none" w:sz="0" w:space="0" w:color="auto"/>
      </w:divBdr>
    </w:div>
    <w:div w:id="152562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E534F9-36B3-4EE2-AC92-9E3E8C94A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1</TotalTime>
  <Pages>3</Pages>
  <Words>704</Words>
  <Characters>4155</Characters>
  <Application>Microsoft Office Word</Application>
  <DocSecurity>0</DocSecurity>
  <Lines>118</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2022-06-24T13:55:00Z</dcterms:created>
  <dcterms:modified xsi:type="dcterms:W3CDTF">2022-06-24T13:55:00Z</dcterms:modified>
</cp:coreProperties>
</file>