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  <w:r w:rsidRPr="007A0F12">
        <w:rPr>
          <w:lang w:val="es-MX"/>
        </w:rPr>
        <w:t>Legislatura de la Ciudad Autónoma de Buenos Aires</w:t>
      </w: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  <w:r w:rsidRPr="007A0F12">
        <w:rPr>
          <w:lang w:val="es-MX"/>
        </w:rPr>
        <w:t>Visto:</w:t>
      </w: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  <w:r>
        <w:rPr>
          <w:lang w:val="es-MX"/>
        </w:rPr>
        <w:tab/>
      </w:r>
      <w:r w:rsidRPr="007A0F12">
        <w:rPr>
          <w:lang w:val="es-MX"/>
        </w:rPr>
        <w:t>El expediente N° 230-D-2022, Proyecto de Declaración, del Diputado Valdés, Juan Manuel.</w:t>
      </w: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  <w:r w:rsidRPr="007A0F12">
        <w:rPr>
          <w:lang w:val="es-MX"/>
        </w:rPr>
        <w:t>Considerando:</w:t>
      </w: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7A0F12">
      <w:pPr>
        <w:rPr>
          <w:lang w:val="es-MX"/>
        </w:rPr>
      </w:pPr>
      <w:r>
        <w:rPr>
          <w:lang w:val="es-MX"/>
        </w:rPr>
        <w:tab/>
        <w:t xml:space="preserve">Que </w:t>
      </w:r>
      <w:r w:rsidRPr="007A0F12">
        <w:rPr>
          <w:lang w:val="es-MX"/>
        </w:rPr>
        <w:t>la tartamudez es una alteración en la fluidez del habla que se caracteriza por repeticiones de sílabas, sonidos o bloqueos.</w:t>
      </w:r>
    </w:p>
    <w:p w:rsidR="007A0F12" w:rsidRPr="007A0F12" w:rsidRDefault="007A0F12" w:rsidP="007A0F12">
      <w:pPr>
        <w:rPr>
          <w:lang w:val="es-MX"/>
        </w:rPr>
      </w:pPr>
    </w:p>
    <w:p w:rsidR="007A0F12" w:rsidRPr="007A0F12" w:rsidRDefault="007A0F12" w:rsidP="007A0F12">
      <w:pPr>
        <w:ind w:firstLine="708"/>
        <w:rPr>
          <w:lang w:val="es-MX"/>
        </w:rPr>
      </w:pPr>
      <w:r w:rsidRPr="007A0F12">
        <w:rPr>
          <w:lang w:val="es-MX"/>
        </w:rPr>
        <w:t>Que en la actualidad no se conoce la causa exacta de la tartamudez, pero sí se conoce que no puede ser atribuida a un solo factor, sino que es multifactorial. Existen diversos aspectos orgánicos, psicológicos y sociales que juegan un rol muy importante frente a la presencia de la tartamudez en una persona.</w:t>
      </w:r>
    </w:p>
    <w:p w:rsidR="007A0F12" w:rsidRPr="007A0F12" w:rsidRDefault="007A0F12" w:rsidP="007A0F12">
      <w:pPr>
        <w:rPr>
          <w:lang w:val="es-MX"/>
        </w:rPr>
      </w:pPr>
    </w:p>
    <w:p w:rsidR="007A0F12" w:rsidRPr="007A0F12" w:rsidRDefault="007A0F12" w:rsidP="007A0F12">
      <w:pPr>
        <w:ind w:firstLine="708"/>
        <w:rPr>
          <w:lang w:val="es-MX"/>
        </w:rPr>
      </w:pPr>
      <w:r w:rsidRPr="007A0F12">
        <w:rPr>
          <w:lang w:val="es-MX"/>
        </w:rPr>
        <w:t>Que según datos de la Asociación Argentina de Tartamudez (AAT) durante el año 2015, en Argentina hay casi un millón de argentinos que tienen tartamudez.</w:t>
      </w:r>
    </w:p>
    <w:p w:rsidR="007A0F12" w:rsidRPr="007A0F12" w:rsidRDefault="007A0F12" w:rsidP="007A0F12">
      <w:pPr>
        <w:rPr>
          <w:lang w:val="es-MX"/>
        </w:rPr>
      </w:pPr>
    </w:p>
    <w:p w:rsidR="007A0F12" w:rsidRPr="007A0F12" w:rsidRDefault="007A0F12" w:rsidP="007A0F12">
      <w:pPr>
        <w:ind w:firstLine="708"/>
        <w:rPr>
          <w:lang w:val="es-MX"/>
        </w:rPr>
      </w:pPr>
      <w:r w:rsidRPr="007A0F12">
        <w:rPr>
          <w:lang w:val="es-MX"/>
        </w:rPr>
        <w:t>Que la tartamudez es muchas veces silenciada en el mismo entorno social de la persona que lo tiene, e incluso, puede convertirse en objeto de estigmatización y discriminación por parte de la sociedad.</w:t>
      </w:r>
    </w:p>
    <w:p w:rsidR="007A0F12" w:rsidRPr="007A0F12" w:rsidRDefault="007A0F12" w:rsidP="007A0F12">
      <w:pPr>
        <w:rPr>
          <w:lang w:val="es-MX"/>
        </w:rPr>
      </w:pPr>
    </w:p>
    <w:p w:rsidR="007A0F12" w:rsidRPr="007A0F12" w:rsidRDefault="007A0F12" w:rsidP="007A0F12">
      <w:pPr>
        <w:ind w:firstLine="708"/>
        <w:rPr>
          <w:lang w:val="es-MX"/>
        </w:rPr>
      </w:pPr>
      <w:r w:rsidRPr="007A0F12">
        <w:rPr>
          <w:lang w:val="es-MX"/>
        </w:rPr>
        <w:t>Que es fundamental que el Estado tome las medidas de concientización necesarias a fin de ampliar el conocimiento y la comprensión de este trastorno para promover una integración plena de los afectados en igualdad de derechos y oportunidades.</w:t>
      </w:r>
    </w:p>
    <w:p w:rsidR="007A0F12" w:rsidRPr="007A0F12" w:rsidRDefault="007A0F12" w:rsidP="007A0F12">
      <w:pPr>
        <w:rPr>
          <w:lang w:val="es-MX"/>
        </w:rPr>
      </w:pPr>
    </w:p>
    <w:p w:rsidR="007A0F12" w:rsidRPr="007A0F12" w:rsidRDefault="007A0F12" w:rsidP="007A0F12">
      <w:pPr>
        <w:ind w:firstLine="708"/>
        <w:rPr>
          <w:lang w:val="es-MX"/>
        </w:rPr>
      </w:pPr>
      <w:r w:rsidRPr="007A0F12">
        <w:rPr>
          <w:lang w:val="es-MX"/>
        </w:rPr>
        <w:t>Que entendemos necesario y pertinente que la Ciudad Autónoma de Buenos Aires se sume al Día Internacional de Toma de Conciencia de la Tartamudez, celebrado el 22 de Octubre de cada año a nivel mundial, asumiendo la responsabilidad del Estado de tomar medidas concretas a los fines de concientizar a la ciudadanía, reduciendo la generación de estereotipos negativos y la discriminación en torno a la tartamudez, así como también propender una mayor participación e integración social de las personas que la tienen.</w:t>
      </w: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  <w:r w:rsidRPr="007A0F12">
        <w:rPr>
          <w:lang w:val="es-MX"/>
        </w:rPr>
        <w:tab/>
        <w:t>Por l</w:t>
      </w:r>
      <w:r>
        <w:rPr>
          <w:lang w:val="es-MX"/>
        </w:rPr>
        <w:t>o expuesto, esta Comisión de Discapacidad</w:t>
      </w:r>
      <w:r w:rsidRPr="007A0F12">
        <w:rPr>
          <w:lang w:val="es-MX"/>
        </w:rPr>
        <w:t xml:space="preserve"> aconseja la aprobación de la siguiente</w:t>
      </w: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081FFF">
      <w:pPr>
        <w:rPr>
          <w:lang w:val="es-MX"/>
        </w:rPr>
      </w:pPr>
    </w:p>
    <w:p w:rsidR="007A0F12" w:rsidRPr="007A0F12" w:rsidRDefault="007A0F12" w:rsidP="007A0F12">
      <w:pPr>
        <w:jc w:val="center"/>
        <w:rPr>
          <w:b/>
          <w:lang w:val="es-MX"/>
        </w:rPr>
      </w:pPr>
      <w:bookmarkStart w:id="0" w:name="DDeclaración"/>
      <w:bookmarkEnd w:id="0"/>
      <w:r w:rsidRPr="007A0F12">
        <w:rPr>
          <w:b/>
          <w:lang w:val="es-MX"/>
        </w:rPr>
        <w:t>DECLARACIÓN</w:t>
      </w:r>
    </w:p>
    <w:p w:rsidR="007A0F12" w:rsidRPr="007A0F12" w:rsidRDefault="007A0F12" w:rsidP="007A0F12">
      <w:pPr>
        <w:rPr>
          <w:b/>
          <w:lang w:val="es-MX"/>
        </w:rPr>
      </w:pPr>
    </w:p>
    <w:p w:rsidR="007A0F12" w:rsidRPr="007A0F12" w:rsidRDefault="007A0F12" w:rsidP="007A0F12">
      <w:pPr>
        <w:rPr>
          <w:lang w:val="es-MX"/>
        </w:rPr>
      </w:pPr>
      <w:r w:rsidRPr="007A0F12">
        <w:rPr>
          <w:lang w:val="es-MX"/>
        </w:rPr>
        <w:t>La Legislatura de la Ciudad Autónoma de Buenos Aires adhiere a la conmemoración del “Día Internacional de toma de conciencia de la Tartamudez”, que se celebra el 22 de octubre de cada año.</w:t>
      </w:r>
    </w:p>
    <w:p w:rsidR="007A0F12" w:rsidRPr="007A0F12" w:rsidRDefault="007A0F12" w:rsidP="007A0F12">
      <w:pPr>
        <w:rPr>
          <w:lang w:val="es-MX"/>
        </w:rPr>
      </w:pPr>
    </w:p>
    <w:p w:rsidR="00AF6352" w:rsidRPr="007A0F12" w:rsidRDefault="007A0F12" w:rsidP="007A0F12">
      <w:pPr>
        <w:rPr>
          <w:lang w:val="es-MX"/>
        </w:rPr>
      </w:pPr>
      <w:r>
        <w:rPr>
          <w:lang w:val="es-MX"/>
        </w:rPr>
        <w:t>Sala de la Comisión: 19 de Octubre de 2022</w:t>
      </w:r>
    </w:p>
    <w:p w:rsidR="00B177FE" w:rsidRDefault="00B177FE" w:rsidP="00081FFF">
      <w:pPr>
        <w:rPr>
          <w:lang w:val="es-MX"/>
        </w:rPr>
      </w:pPr>
    </w:p>
    <w:p w:rsidR="007A0F12" w:rsidRDefault="007A0F12" w:rsidP="007A0F12">
      <w:pPr>
        <w:rPr>
          <w:lang w:val="es-MX"/>
        </w:rPr>
      </w:pPr>
      <w:r>
        <w:rPr>
          <w:lang w:val="es-MX"/>
        </w:rPr>
        <w:br w:type="page"/>
      </w:r>
    </w:p>
    <w:p w:rsidR="007A0F12" w:rsidRDefault="007A0F12" w:rsidP="007A0F12">
      <w:pPr>
        <w:rPr>
          <w:lang w:val="es-MX"/>
        </w:rPr>
      </w:pPr>
    </w:p>
    <w:p w:rsidR="007A0F12" w:rsidRDefault="007A0F12" w:rsidP="007A0F12">
      <w:pPr>
        <w:rPr>
          <w:lang w:val="es-MX"/>
        </w:rPr>
      </w:pPr>
    </w:p>
    <w:p w:rsidR="007A0F12" w:rsidRDefault="007A0F12" w:rsidP="007A0F12">
      <w:pPr>
        <w:rPr>
          <w:lang w:val="es-MX"/>
        </w:rPr>
      </w:pPr>
    </w:p>
    <w:p w:rsidR="007A0F12" w:rsidRPr="005F4664" w:rsidRDefault="007A0F12" w:rsidP="007A0F12">
      <w:pPr>
        <w:rPr>
          <w:lang w:val="es-MX"/>
        </w:rPr>
      </w:pPr>
    </w:p>
    <w:p w:rsidR="007A0F12" w:rsidRPr="005F4664" w:rsidRDefault="007A0F12" w:rsidP="007A0F12">
      <w:pPr>
        <w:rPr>
          <w:lang w:val="es-MX"/>
        </w:rPr>
      </w:pPr>
    </w:p>
    <w:p w:rsidR="007A0F12" w:rsidRPr="00B03C6A" w:rsidRDefault="007A0F12" w:rsidP="007A0F12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Manuel Valdés</w:t>
      </w: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Presidente</w:t>
      </w: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Pr="00B03C6A" w:rsidRDefault="007A0F12" w:rsidP="007A0F12">
      <w:pPr>
        <w:rPr>
          <w:szCs w:val="24"/>
          <w:lang w:val="es-ES"/>
        </w:rPr>
      </w:pPr>
    </w:p>
    <w:p w:rsidR="007A0F12" w:rsidRPr="00B03C6A" w:rsidRDefault="007A0F12" w:rsidP="007A0F12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Ana María Bou Pérez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Facundo Del Gaiso</w:t>
      </w:r>
    </w:p>
    <w:p w:rsidR="007A0F12" w:rsidRDefault="007A0F12" w:rsidP="007A0F12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Vicepresidenta </w:t>
      </w:r>
      <w:r w:rsidRPr="00B03C6A">
        <w:rPr>
          <w:b/>
          <w:bCs/>
          <w:color w:val="000000"/>
          <w:szCs w:val="24"/>
          <w:lang w:val="es-ES"/>
        </w:rPr>
        <w:t>1</w:t>
      </w: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Pr="00B03C6A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b/>
          <w:bCs/>
          <w:color w:val="000000"/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Patricia Vischi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Claudio Ariel Romero</w:t>
      </w: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Default="007A0F12" w:rsidP="007A0F12">
      <w:pPr>
        <w:rPr>
          <w:szCs w:val="24"/>
          <w:lang w:val="es-ES"/>
        </w:rPr>
      </w:pPr>
    </w:p>
    <w:p w:rsidR="007A0F12" w:rsidRPr="00B03C6A" w:rsidRDefault="007A0F12" w:rsidP="007A0F12">
      <w:pPr>
        <w:rPr>
          <w:b/>
          <w:bCs/>
          <w:color w:val="000000"/>
          <w:szCs w:val="24"/>
          <w:lang w:val="es-ES"/>
        </w:rPr>
      </w:pPr>
    </w:p>
    <w:p w:rsidR="007A0F12" w:rsidRPr="007A0F12" w:rsidRDefault="007A0F12" w:rsidP="007A0F12">
      <w:pPr>
        <w:rPr>
          <w:lang w:val="es-MX"/>
        </w:rPr>
      </w:pPr>
      <w:r w:rsidRPr="00B03C6A">
        <w:rPr>
          <w:b/>
          <w:bCs/>
          <w:color w:val="000000"/>
          <w:szCs w:val="24"/>
          <w:lang w:val="es-ES"/>
        </w:rPr>
        <w:t>María Cecilia Ferr</w:t>
      </w:r>
      <w:r>
        <w:rPr>
          <w:b/>
          <w:bCs/>
          <w:color w:val="000000"/>
          <w:szCs w:val="24"/>
          <w:lang w:val="es-ES"/>
        </w:rPr>
        <w:t xml:space="preserve">ero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Victoria Montenegro</w:t>
      </w:r>
    </w:p>
    <w:p w:rsidR="00B177FE" w:rsidRPr="007A0F12" w:rsidRDefault="00B177FE" w:rsidP="00081FFF">
      <w:pPr>
        <w:rPr>
          <w:lang w:val="es-MX"/>
        </w:rPr>
      </w:pPr>
    </w:p>
    <w:p w:rsidR="00AF6352" w:rsidRPr="007A0F12" w:rsidRDefault="00AF6352" w:rsidP="00081FFF">
      <w:pPr>
        <w:rPr>
          <w:lang w:val="es-MX"/>
        </w:rPr>
      </w:pPr>
    </w:p>
    <w:sectPr w:rsidR="00AF6352" w:rsidRPr="007A0F1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7DC" w:rsidRDefault="007077DC">
      <w:r>
        <w:separator/>
      </w:r>
    </w:p>
  </w:endnote>
  <w:endnote w:type="continuationSeparator" w:id="0">
    <w:p w:rsidR="007077DC" w:rsidRDefault="00707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A0F12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7A0F12" w:rsidRDefault="00601A75">
    <w:pPr>
      <w:pStyle w:val="Piedepgina"/>
      <w:rPr>
        <w:color w:val="333333"/>
        <w:sz w:val="20"/>
      </w:rPr>
    </w:pPr>
    <w:r w:rsidRPr="007A0F12">
      <w:rPr>
        <w:color w:val="333333"/>
        <w:sz w:val="20"/>
      </w:rPr>
      <w:t xml:space="preserve">Último cambio: </w:t>
    </w:r>
    <w:fldSimple w:instr=" SAVEDATE  \* MERGEFORMAT ">
      <w:r w:rsidR="007A0F12">
        <w:rPr>
          <w:noProof/>
          <w:color w:val="333333"/>
          <w:sz w:val="20"/>
        </w:rPr>
        <w:t>00/00/0000 0:00:00</w:t>
      </w:r>
    </w:fldSimple>
    <w:r w:rsidRPr="007A0F12">
      <w:rPr>
        <w:color w:val="333333"/>
        <w:sz w:val="20"/>
      </w:rPr>
      <w:t xml:space="preserve">  -  Cantidad de caracteres: </w:t>
    </w:r>
    <w:fldSimple w:instr=" NUMCHARS  \* MERGEFORMAT ">
      <w:r w:rsidR="007A0F12">
        <w:rPr>
          <w:noProof/>
          <w:color w:val="333333"/>
          <w:sz w:val="20"/>
        </w:rPr>
        <w:t>1855</w:t>
      </w:r>
    </w:fldSimple>
    <w:r w:rsidRPr="007A0F12">
      <w:rPr>
        <w:color w:val="333333"/>
        <w:sz w:val="20"/>
      </w:rPr>
      <w:t xml:space="preserve"> - Cantidad de palabras: </w:t>
    </w:r>
    <w:fldSimple w:instr=" NUMWORDS  \* MERGEFORMAT ">
      <w:r w:rsidR="007A0F12">
        <w:rPr>
          <w:noProof/>
          <w:color w:val="333333"/>
          <w:sz w:val="20"/>
        </w:rPr>
        <w:t>355</w:t>
      </w:r>
    </w:fldSimple>
  </w:p>
  <w:p w:rsidR="00601A75" w:rsidRPr="007A0F1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A0F12">
      <w:rPr>
        <w:color w:val="333333"/>
        <w:sz w:val="20"/>
      </w:rPr>
      <w:tab/>
      <w:t>Pág.</w:t>
    </w:r>
    <w:r w:rsidRPr="007A0F12">
      <w:rPr>
        <w:color w:val="333333"/>
      </w:rPr>
      <w:t xml:space="preserve"> </w:t>
    </w:r>
    <w:r w:rsidRPr="007A0F12">
      <w:rPr>
        <w:rStyle w:val="Nmerodepgina"/>
        <w:color w:val="333333"/>
      </w:rPr>
      <w:fldChar w:fldCharType="begin"/>
    </w:r>
    <w:r w:rsidRPr="007A0F12">
      <w:rPr>
        <w:rStyle w:val="Nmerodepgina"/>
        <w:color w:val="333333"/>
      </w:rPr>
      <w:instrText xml:space="preserve"> PAGE </w:instrText>
    </w:r>
    <w:r w:rsidRPr="007A0F12">
      <w:rPr>
        <w:rStyle w:val="Nmerodepgina"/>
        <w:color w:val="333333"/>
      </w:rPr>
      <w:fldChar w:fldCharType="separate"/>
    </w:r>
    <w:r w:rsidR="007A0F12">
      <w:rPr>
        <w:rStyle w:val="Nmerodepgina"/>
        <w:noProof/>
        <w:color w:val="333333"/>
      </w:rPr>
      <w:t>2</w:t>
    </w:r>
    <w:r w:rsidRPr="007A0F12">
      <w:rPr>
        <w:rStyle w:val="Nmerodepgina"/>
        <w:color w:val="333333"/>
      </w:rPr>
      <w:fldChar w:fldCharType="end"/>
    </w:r>
    <w:r w:rsidRPr="007A0F12">
      <w:rPr>
        <w:rStyle w:val="Nmerodepgina"/>
        <w:color w:val="333333"/>
      </w:rPr>
      <w:t>/</w:t>
    </w:r>
    <w:fldSimple w:instr=" NUMPAGES  \* MERGEFORMAT ">
      <w:r w:rsidR="007A0F12">
        <w:rPr>
          <w:rStyle w:val="Nmerodepgina"/>
          <w:noProof/>
          <w:color w:val="333333"/>
        </w:rPr>
        <w:t>2</w:t>
      </w:r>
    </w:fldSimple>
    <w:r w:rsidRPr="007A0F12">
      <w:rPr>
        <w:rStyle w:val="Nmerodepgina"/>
        <w:color w:val="333333"/>
      </w:rPr>
      <w:t xml:space="preserve"> </w:t>
    </w:r>
  </w:p>
  <w:p w:rsidR="00601A75" w:rsidRPr="007A0F1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7DC" w:rsidRDefault="007077DC">
      <w:r>
        <w:separator/>
      </w:r>
    </w:p>
  </w:footnote>
  <w:footnote w:type="continuationSeparator" w:id="0">
    <w:p w:rsidR="007077DC" w:rsidRDefault="007077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7A0F1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077DC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077DC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0F12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96323-C604-4B8A-BB88-F202ED8E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416</Words>
  <Characters>2174</Characters>
  <Application>Microsoft Office Word</Application>
  <DocSecurity>0</DocSecurity>
  <Lines>114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2022-10-14T21:18:00Z</dcterms:created>
  <dcterms:modified xsi:type="dcterms:W3CDTF">2022-10-14T21:20:00Z</dcterms:modified>
</cp:coreProperties>
</file>