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57" w:rsidRPr="008C1E76" w:rsidRDefault="002C4057" w:rsidP="002C4057">
      <w:pPr>
        <w:suppressAutoHyphens/>
        <w:spacing w:after="200" w:line="360" w:lineRule="auto"/>
        <w:jc w:val="center"/>
        <w:rPr>
          <w:b/>
          <w:szCs w:val="24"/>
          <w:lang w:val="es-AR" w:eastAsia="es-AR"/>
        </w:rPr>
      </w:pPr>
      <w:r w:rsidRPr="008C1E76">
        <w:rPr>
          <w:b/>
          <w:szCs w:val="24"/>
          <w:lang w:val="es-AR" w:eastAsia="es-AR"/>
        </w:rPr>
        <w:t>PROYECTO DE DECLARACIÓN</w:t>
      </w:r>
    </w:p>
    <w:p w:rsidR="002C4057" w:rsidRPr="008C1E76" w:rsidRDefault="002C4057" w:rsidP="002C4057">
      <w:pPr>
        <w:suppressAutoHyphens/>
        <w:spacing w:after="200" w:line="360" w:lineRule="auto"/>
        <w:rPr>
          <w:szCs w:val="24"/>
          <w:lang w:val="es-AR" w:eastAsia="es-AR"/>
        </w:rPr>
      </w:pPr>
      <w:r w:rsidRPr="008C1E76">
        <w:rPr>
          <w:szCs w:val="24"/>
          <w:lang w:val="es-AR" w:eastAsia="es-AR"/>
        </w:rPr>
        <w:t>Declárase de interés educativo el II Congreso Internacional sobre Inclusión Escolar, organizado por la Diplomatura de Inclusión Escolar con Orientación en Trastornos Emocionales Severos de la Universidad Nacional Tres de Febrero -UNTREF- a realizarse en esta Ciudad Autónoma de Buenos Aires, los días 24 y 25 de octubre de 2022.</w:t>
      </w:r>
    </w:p>
    <w:p w:rsidR="002C4057" w:rsidRPr="008C1E76" w:rsidRDefault="002C4057" w:rsidP="002C4057">
      <w:pPr>
        <w:suppressAutoHyphens/>
        <w:spacing w:after="200" w:line="360" w:lineRule="auto"/>
        <w:rPr>
          <w:szCs w:val="24"/>
          <w:lang w:val="es-AR" w:eastAsia="es-AR"/>
        </w:rPr>
      </w:pPr>
    </w:p>
    <w:p w:rsidR="002C4057" w:rsidRPr="008C1E76" w:rsidRDefault="002C4057" w:rsidP="002C4057">
      <w:pPr>
        <w:suppressAutoHyphens/>
        <w:spacing w:after="200" w:line="360" w:lineRule="auto"/>
        <w:rPr>
          <w:szCs w:val="24"/>
          <w:lang w:val="es-AR" w:eastAsia="es-AR"/>
        </w:rPr>
      </w:pPr>
    </w:p>
    <w:p w:rsidR="002C4057" w:rsidRPr="008C1E76" w:rsidRDefault="002C4057" w:rsidP="002C4057"/>
    <w:p w:rsidR="002C4057" w:rsidRPr="008C1E76" w:rsidRDefault="002C4057" w:rsidP="002C4057"/>
    <w:p w:rsidR="002C4057" w:rsidRPr="008C1E76" w:rsidRDefault="002C4057" w:rsidP="002C4057"/>
    <w:p w:rsidR="002C4057" w:rsidRPr="008C1E76" w:rsidRDefault="002C4057" w:rsidP="002C4057">
      <w:pPr>
        <w:shd w:val="clear" w:color="auto" w:fill="FFFFFF"/>
        <w:jc w:val="center"/>
        <w:rPr>
          <w:b/>
          <w:szCs w:val="24"/>
          <w:lang w:val="es-AR" w:eastAsia="es-AR"/>
        </w:rPr>
      </w:pPr>
    </w:p>
    <w:p w:rsidR="002C4057" w:rsidRPr="008C1E76" w:rsidRDefault="002C4057" w:rsidP="002C4057">
      <w:pPr>
        <w:shd w:val="clear" w:color="auto" w:fill="FFFFFF"/>
        <w:jc w:val="center"/>
        <w:rPr>
          <w:b/>
          <w:szCs w:val="24"/>
          <w:lang w:val="es-AR" w:eastAsia="es-AR"/>
        </w:rPr>
      </w:pPr>
    </w:p>
    <w:p w:rsidR="002C4057" w:rsidRPr="008C1E76" w:rsidRDefault="002C4057" w:rsidP="002C4057">
      <w:pPr>
        <w:shd w:val="clear" w:color="auto" w:fill="FFFFFF"/>
        <w:jc w:val="center"/>
        <w:rPr>
          <w:b/>
          <w:szCs w:val="24"/>
          <w:lang w:val="es-AR" w:eastAsia="es-AR"/>
        </w:rPr>
      </w:pPr>
    </w:p>
    <w:p w:rsidR="002C4057" w:rsidRPr="008C1E76" w:rsidRDefault="002C4057" w:rsidP="002C4057">
      <w:pPr>
        <w:shd w:val="clear" w:color="auto" w:fill="FFFFFF"/>
        <w:jc w:val="center"/>
        <w:rPr>
          <w:b/>
          <w:szCs w:val="24"/>
          <w:lang w:val="es-AR" w:eastAsia="es-AR"/>
        </w:rPr>
      </w:pPr>
    </w:p>
    <w:p w:rsidR="002C4057" w:rsidRPr="008C1E76" w:rsidRDefault="002C4057" w:rsidP="002C4057">
      <w:pPr>
        <w:shd w:val="clear" w:color="auto" w:fill="FFFFFF"/>
        <w:jc w:val="center"/>
        <w:rPr>
          <w:b/>
          <w:szCs w:val="24"/>
          <w:lang w:val="es-AR" w:eastAsia="es-AR"/>
        </w:rPr>
      </w:pPr>
      <w:r w:rsidRPr="008C1E76">
        <w:rPr>
          <w:b/>
          <w:szCs w:val="24"/>
          <w:lang w:val="es-AR" w:eastAsia="es-AR"/>
        </w:rPr>
        <w:t>FUNDAMENTOS</w:t>
      </w:r>
    </w:p>
    <w:p w:rsidR="002C4057" w:rsidRPr="008C1E76" w:rsidRDefault="002C4057" w:rsidP="002C4057"/>
    <w:p w:rsidR="002C4057" w:rsidRPr="008C1E76" w:rsidRDefault="002C4057" w:rsidP="002C4057"/>
    <w:p w:rsidR="002C4057" w:rsidRPr="008C1E76" w:rsidRDefault="002C4057" w:rsidP="002C4057"/>
    <w:p w:rsidR="002C4057" w:rsidRPr="008C1E76" w:rsidRDefault="002C4057" w:rsidP="002C4057">
      <w:pPr>
        <w:shd w:val="clear" w:color="auto" w:fill="FFFFFF"/>
        <w:jc w:val="left"/>
        <w:rPr>
          <w:szCs w:val="24"/>
          <w:lang w:val="es-AR" w:eastAsia="es-AR"/>
        </w:rPr>
      </w:pPr>
      <w:r w:rsidRPr="008C1E76">
        <w:rPr>
          <w:szCs w:val="24"/>
          <w:lang w:val="es-AR" w:eastAsia="es-AR"/>
        </w:rPr>
        <w:t>Señor Presidente:</w:t>
      </w:r>
    </w:p>
    <w:p w:rsidR="002C4057" w:rsidRPr="008C1E76" w:rsidRDefault="002C4057" w:rsidP="002C4057">
      <w:pPr>
        <w:shd w:val="clear" w:color="auto" w:fill="FFFFFF"/>
        <w:jc w:val="left"/>
        <w:rPr>
          <w:szCs w:val="24"/>
          <w:lang w:val="es-AR" w:eastAsia="es-AR"/>
        </w:rPr>
      </w:pPr>
    </w:p>
    <w:p w:rsidR="002C4057" w:rsidRPr="008C1E76" w:rsidRDefault="002C4057" w:rsidP="002C4057">
      <w:pPr>
        <w:shd w:val="clear" w:color="auto" w:fill="FFFFFF"/>
        <w:jc w:val="left"/>
        <w:rPr>
          <w:szCs w:val="24"/>
          <w:lang w:val="es-AR" w:eastAsia="es-AR"/>
        </w:rPr>
      </w:pPr>
    </w:p>
    <w:p w:rsidR="002C4057" w:rsidRPr="008C1E76" w:rsidRDefault="002C4057" w:rsidP="002C4057">
      <w:pPr>
        <w:shd w:val="clear" w:color="auto" w:fill="FFFFFF"/>
        <w:spacing w:line="360" w:lineRule="auto"/>
        <w:rPr>
          <w:szCs w:val="24"/>
          <w:lang w:val="es-AR" w:eastAsia="es-AR"/>
        </w:rPr>
      </w:pPr>
      <w:r w:rsidRPr="008C1E76">
        <w:rPr>
          <w:szCs w:val="24"/>
          <w:lang w:val="es-AR" w:eastAsia="es-AR"/>
        </w:rPr>
        <w:t xml:space="preserve">El II Congreso Internacional sobre Inclusión Escolar, se llevará a cabo los días 24 y 25 de octubre de 2022 en el </w:t>
      </w:r>
      <w:proofErr w:type="spellStart"/>
      <w:r w:rsidRPr="008C1E76">
        <w:rPr>
          <w:szCs w:val="24"/>
          <w:lang w:val="es-AR" w:eastAsia="es-AR"/>
        </w:rPr>
        <w:t>Xirgu</w:t>
      </w:r>
      <w:proofErr w:type="spellEnd"/>
      <w:r w:rsidRPr="008C1E76">
        <w:rPr>
          <w:szCs w:val="24"/>
          <w:lang w:val="es-AR" w:eastAsia="es-AR"/>
        </w:rPr>
        <w:t xml:space="preserve"> Espacio UNTREF sito en Chacabuco 875 de la Ciudad Autónoma de Buenos Aires.</w:t>
      </w:r>
      <w:r>
        <w:rPr>
          <w:szCs w:val="24"/>
          <w:lang w:val="es-AR" w:eastAsia="es-AR"/>
        </w:rPr>
        <w:t xml:space="preserve"> </w:t>
      </w:r>
      <w:r w:rsidRPr="008C1E76">
        <w:rPr>
          <w:szCs w:val="24"/>
          <w:lang w:val="es-AR" w:eastAsia="es-AR"/>
        </w:rPr>
        <w:t>Es</w:t>
      </w:r>
      <w:r>
        <w:rPr>
          <w:szCs w:val="24"/>
          <w:lang w:val="es-AR" w:eastAsia="es-AR"/>
        </w:rPr>
        <w:t xml:space="preserve"> </w:t>
      </w:r>
      <w:r w:rsidRPr="008C1E76">
        <w:rPr>
          <w:szCs w:val="24"/>
          <w:lang w:val="es-AR" w:eastAsia="es-AR"/>
        </w:rPr>
        <w:t>organizado y coordinado por la Diplomatura de Inclusión Escolar con orientación en TES Trastornos Emocionales Severos de la Universidad de Tres de Febrero-UNTREF.</w:t>
      </w:r>
    </w:p>
    <w:p w:rsidR="002C4057" w:rsidRPr="008C1E76" w:rsidRDefault="002C4057" w:rsidP="002C4057">
      <w:pPr>
        <w:shd w:val="clear" w:color="auto" w:fill="FFFFFF"/>
        <w:spacing w:line="360" w:lineRule="auto"/>
        <w:rPr>
          <w:szCs w:val="24"/>
          <w:lang w:val="es-AR" w:eastAsia="es-AR"/>
        </w:rPr>
      </w:pPr>
    </w:p>
    <w:p w:rsidR="002C4057" w:rsidRPr="008C1E76" w:rsidRDefault="002C4057" w:rsidP="002C4057">
      <w:pPr>
        <w:shd w:val="clear" w:color="auto" w:fill="FFFFFF"/>
        <w:spacing w:line="360" w:lineRule="auto"/>
        <w:rPr>
          <w:szCs w:val="24"/>
          <w:lang w:val="es-AR" w:eastAsia="es-AR"/>
        </w:rPr>
      </w:pPr>
      <w:r w:rsidRPr="008C1E76">
        <w:rPr>
          <w:szCs w:val="24"/>
          <w:lang w:val="es-AR" w:eastAsia="es-AR"/>
        </w:rPr>
        <w:t>El programa científico estará compuesto por diversas modalidades de presentación: conferencias magistrales, mesas de conversatorios y presentación de experiencias.</w:t>
      </w:r>
    </w:p>
    <w:p w:rsidR="002C4057" w:rsidRPr="008C1E76" w:rsidRDefault="002C4057" w:rsidP="002C4057">
      <w:pPr>
        <w:shd w:val="clear" w:color="auto" w:fill="FFFFFF"/>
        <w:spacing w:line="360" w:lineRule="auto"/>
        <w:rPr>
          <w:szCs w:val="24"/>
          <w:lang w:val="es-AR" w:eastAsia="es-AR"/>
        </w:rPr>
      </w:pPr>
      <w:r w:rsidRPr="008C1E76">
        <w:rPr>
          <w:szCs w:val="24"/>
          <w:lang w:val="es-AR" w:eastAsia="es-AR"/>
        </w:rPr>
        <w:t>Las jornadas de trabajo contarán con la presencia de destacados académicos, especialistas y profesionales del psicoanálisis, la pedagogía y la filosofía, dedicados a las problemáticas del campo de la inclusión escolar. El Congreso está dirigido a docentes, equipos de conducción y supervisores/inspectores de todos los niveles educativos; docentes, equipos de conducción y supervisores/inspectores de la modalidad de Educación Especial y otras modalidades del sistema escolar; miembros de los Equipos de Apoyo y Orientación del ámbito Escolar y Equipos Técnicos; formadores de docentes; profesores de las carreras de profesorado y capacitadores; profesionales de la Salud con inserción en ámbitos educativos o con práctica en clínica con niños, niñas y adolescentes: psicólogos, psicopedagogos, educadores sociales y comunitarios.</w:t>
      </w:r>
    </w:p>
    <w:p w:rsidR="002C4057" w:rsidRPr="008C1E76" w:rsidRDefault="002C4057" w:rsidP="002C4057">
      <w:pPr>
        <w:shd w:val="clear" w:color="auto" w:fill="FFFFFF"/>
        <w:spacing w:line="360" w:lineRule="auto"/>
        <w:rPr>
          <w:szCs w:val="24"/>
          <w:lang w:val="es-AR" w:eastAsia="es-AR"/>
        </w:rPr>
      </w:pPr>
    </w:p>
    <w:p w:rsidR="002C4057" w:rsidRPr="008C1E76" w:rsidRDefault="002C4057" w:rsidP="002C4057">
      <w:pPr>
        <w:suppressAutoHyphens/>
        <w:spacing w:after="200" w:line="360" w:lineRule="auto"/>
        <w:rPr>
          <w:szCs w:val="24"/>
          <w:lang w:val="es-AR" w:eastAsia="es-AR"/>
        </w:rPr>
      </w:pPr>
      <w:r w:rsidRPr="008C1E76">
        <w:rPr>
          <w:szCs w:val="24"/>
          <w:lang w:val="es-AR" w:eastAsia="es-AR"/>
        </w:rPr>
        <w:t>Las jornadas de trabajo contarán con la presencia de destacados académicos, especialistas y profesionales del psicoanálisis, la pedagogía y la filosofía, dedicados a las problemáticas del campo de la inclusión escolar. El Congreso está dirigido a docentes, equipos de conducción y supervisores/inspectores de todos los niveles educativos; docentes, equipos de conducción y supervisores/inspectores de la modalidad de Educación Especial y otras modalidades del sistema escolar; miembros de los Equipos de Apoyo y Orientación del ámbito Escolar y Equipos Técnicos; formadores de docentes: profesores de las carreras de profesorado y capacitadores; profesionales de la Salud con inserción en ámbitos educativos o con práctica en clínica con niños, niñas y adolescentes: psicólogos, psicopedagogos, educadores sociales y comunitarios.</w:t>
      </w:r>
    </w:p>
    <w:p w:rsidR="002C4057" w:rsidRPr="008C1E76" w:rsidRDefault="002C4057" w:rsidP="002C4057">
      <w:pPr>
        <w:shd w:val="clear" w:color="auto" w:fill="FFFFFF"/>
        <w:spacing w:line="360" w:lineRule="auto"/>
        <w:rPr>
          <w:szCs w:val="24"/>
          <w:lang w:val="es-AR" w:eastAsia="es-AR"/>
        </w:rPr>
      </w:pPr>
      <w:r w:rsidRPr="008C1E76">
        <w:rPr>
          <w:szCs w:val="24"/>
          <w:lang w:val="es-AR" w:eastAsia="es-AR"/>
        </w:rPr>
        <w:t>En el entendimiento que el II Congreso Internacional sobre Inclusión Escolar responde a lo establecido en el artículo 23 de la Constitución de la Ciudad Autónoma de Buenos Aires, que en el segundo párrafo establece que la Ciudad Autónoma de Buenos Aires: “Asegura la igualdad de oportunidades y posibilidades para el acceso, permanencia, reinserción y egreso del sistema educativo. Respeta el derecho individual de los educandos, de los padres o tutores, a la elección de la orientación educativa según sus convicciones y preferencias.</w:t>
      </w:r>
    </w:p>
    <w:p w:rsidR="002C4057" w:rsidRPr="008C1E76" w:rsidRDefault="002C4057" w:rsidP="002C4057">
      <w:pPr>
        <w:shd w:val="clear" w:color="auto" w:fill="FFFFFF"/>
        <w:spacing w:line="360" w:lineRule="auto"/>
        <w:rPr>
          <w:szCs w:val="24"/>
          <w:lang w:val="es-AR" w:eastAsia="es-AR"/>
        </w:rPr>
      </w:pPr>
    </w:p>
    <w:p w:rsidR="002C4057" w:rsidRPr="008C1E76" w:rsidRDefault="002C4057" w:rsidP="002C4057">
      <w:pPr>
        <w:shd w:val="clear" w:color="auto" w:fill="FFFFFF"/>
        <w:spacing w:line="360" w:lineRule="auto"/>
        <w:rPr>
          <w:szCs w:val="24"/>
          <w:lang w:val="es-AR" w:eastAsia="es-AR"/>
        </w:rPr>
      </w:pPr>
      <w:r w:rsidRPr="008C1E76">
        <w:rPr>
          <w:szCs w:val="24"/>
          <w:lang w:val="es-AR" w:eastAsia="es-AR"/>
        </w:rPr>
        <w:t xml:space="preserve">Y, que el tercer párrafo del mismo artículo también establece que la Ciudad “Promueve el más alto nivel de calidad de la enseñanza y asegura políticas sociales complementarias que posibiliten el efectivo ejercicio de aquellos derechos”. </w:t>
      </w:r>
    </w:p>
    <w:p w:rsidR="002C4057" w:rsidRPr="008C1E76" w:rsidRDefault="002C4057" w:rsidP="002C4057">
      <w:pPr>
        <w:shd w:val="clear" w:color="auto" w:fill="FFFFFF"/>
        <w:spacing w:line="360" w:lineRule="auto"/>
        <w:rPr>
          <w:szCs w:val="24"/>
          <w:lang w:val="es-AR" w:eastAsia="es-AR"/>
        </w:rPr>
      </w:pPr>
    </w:p>
    <w:p w:rsidR="002C4057" w:rsidRPr="008C1E76" w:rsidRDefault="002C4057" w:rsidP="002C4057">
      <w:pPr>
        <w:shd w:val="clear" w:color="auto" w:fill="FFFFFF"/>
        <w:spacing w:line="360" w:lineRule="auto"/>
        <w:rPr>
          <w:szCs w:val="24"/>
          <w:lang w:val="es-AR" w:eastAsia="es-AR"/>
        </w:rPr>
      </w:pPr>
      <w:r w:rsidRPr="008C1E76">
        <w:rPr>
          <w:szCs w:val="24"/>
          <w:lang w:val="es-AR" w:eastAsia="es-AR"/>
        </w:rPr>
        <w:t>En virtud de lo expuesto se adjunta en anexo I el programa académico a desarrollarse en el Congreso, y solicito a mis pares el acompañamiento y aprobación del presente proyecto de Declaración.</w:t>
      </w:r>
      <w:r>
        <w:rPr>
          <w:szCs w:val="24"/>
          <w:lang w:val="es-AR" w:eastAsia="es-AR"/>
        </w:rPr>
        <w:t xml:space="preserve"> </w:t>
      </w:r>
    </w:p>
    <w:p w:rsidR="002C4057" w:rsidRPr="008C1E76"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Default="002C4057" w:rsidP="002C4057">
      <w:pPr>
        <w:shd w:val="clear" w:color="auto" w:fill="FFFFFF"/>
        <w:spacing w:line="360" w:lineRule="auto"/>
        <w:jc w:val="center"/>
        <w:rPr>
          <w:b/>
          <w:szCs w:val="24"/>
          <w:lang w:val="es-AR" w:eastAsia="es-AR"/>
        </w:rPr>
      </w:pPr>
    </w:p>
    <w:p w:rsidR="002C4057" w:rsidRPr="008C1E76" w:rsidRDefault="002C4057" w:rsidP="002C4057">
      <w:pPr>
        <w:shd w:val="clear" w:color="auto" w:fill="FFFFFF"/>
        <w:spacing w:line="360" w:lineRule="auto"/>
        <w:jc w:val="center"/>
        <w:rPr>
          <w:b/>
          <w:szCs w:val="24"/>
          <w:lang w:val="es-AR" w:eastAsia="es-AR"/>
        </w:rPr>
      </w:pPr>
      <w:r w:rsidRPr="008C1E76">
        <w:rPr>
          <w:b/>
          <w:szCs w:val="24"/>
          <w:lang w:val="es-AR" w:eastAsia="es-AR"/>
        </w:rPr>
        <w:lastRenderedPageBreak/>
        <w:t>ANEXO I</w:t>
      </w:r>
    </w:p>
    <w:p w:rsidR="002C4057" w:rsidRPr="008C1E76" w:rsidRDefault="002C4057" w:rsidP="002C4057">
      <w:pPr>
        <w:shd w:val="clear" w:color="auto" w:fill="FFFFFF"/>
        <w:spacing w:line="360" w:lineRule="auto"/>
        <w:rPr>
          <w:szCs w:val="24"/>
          <w:lang w:val="es-AR" w:eastAsia="es-AR"/>
        </w:rPr>
      </w:pPr>
    </w:p>
    <w:p w:rsidR="002C4057" w:rsidRPr="008C1E76" w:rsidRDefault="002C4057" w:rsidP="002C4057">
      <w:pPr>
        <w:pBdr>
          <w:left w:val="threeDEmboss" w:sz="24" w:space="1" w:color="2F5496"/>
          <w:bottom w:val="threeDEmboss" w:sz="24" w:space="1" w:color="2F5496"/>
        </w:pBdr>
        <w:spacing w:line="360" w:lineRule="auto"/>
        <w:jc w:val="center"/>
        <w:rPr>
          <w:b/>
          <w:bCs/>
          <w:sz w:val="28"/>
          <w:szCs w:val="28"/>
          <w:lang w:eastAsia="es-AR"/>
        </w:rPr>
      </w:pPr>
      <w:bookmarkStart w:id="0" w:name="_Hlk111719354"/>
    </w:p>
    <w:p w:rsidR="002C4057" w:rsidRPr="008C1E76" w:rsidRDefault="002C4057" w:rsidP="002C4057">
      <w:pPr>
        <w:pBdr>
          <w:left w:val="threeDEmboss" w:sz="24" w:space="1" w:color="2F5496"/>
          <w:bottom w:val="threeDEmboss" w:sz="24" w:space="1" w:color="2F5496"/>
        </w:pBdr>
        <w:spacing w:line="360" w:lineRule="auto"/>
        <w:jc w:val="left"/>
        <w:rPr>
          <w:b/>
          <w:bCs/>
          <w:sz w:val="28"/>
          <w:szCs w:val="28"/>
          <w:lang w:eastAsia="es-AR"/>
        </w:rPr>
      </w:pPr>
      <w:r w:rsidRPr="008C1E76">
        <w:rPr>
          <w:b/>
          <w:noProof/>
          <w:sz w:val="28"/>
          <w:szCs w:val="28"/>
          <w:lang w:val="es-AR" w:eastAsia="es-AR"/>
        </w:rPr>
        <w:drawing>
          <wp:inline distT="0" distB="0" distL="0" distR="0">
            <wp:extent cx="1628775" cy="571500"/>
            <wp:effectExtent l="19050" t="0" r="9525" b="0"/>
            <wp:docPr id="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9"/>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Bdr>
          <w:left w:val="threeDEmboss" w:sz="24" w:space="1" w:color="2F5496"/>
          <w:bottom w:val="threeDEmboss" w:sz="24" w:space="1" w:color="2F5496"/>
        </w:pBdr>
        <w:spacing w:line="360" w:lineRule="auto"/>
        <w:jc w:val="center"/>
        <w:rPr>
          <w:b/>
          <w:bCs/>
          <w:sz w:val="28"/>
          <w:szCs w:val="28"/>
          <w:lang w:eastAsia="es-AR"/>
        </w:rPr>
      </w:pPr>
    </w:p>
    <w:p w:rsidR="002C4057" w:rsidRPr="008C1E76" w:rsidRDefault="002C4057" w:rsidP="002C4057">
      <w:pPr>
        <w:pBdr>
          <w:left w:val="threeDEmboss" w:sz="24" w:space="1" w:color="2F5496"/>
          <w:bottom w:val="threeDEmboss" w:sz="24" w:space="1" w:color="2F5496"/>
        </w:pBdr>
        <w:spacing w:line="360" w:lineRule="auto"/>
        <w:jc w:val="center"/>
        <w:rPr>
          <w:b/>
          <w:bCs/>
          <w:szCs w:val="24"/>
          <w:lang w:eastAsia="es-AR"/>
        </w:rPr>
      </w:pPr>
      <w:r w:rsidRPr="008C1E76">
        <w:rPr>
          <w:b/>
          <w:bCs/>
          <w:szCs w:val="24"/>
          <w:lang w:eastAsia="es-AR"/>
        </w:rPr>
        <w:t>II Congreso Internacional sobre Inclusión Escolar</w:t>
      </w:r>
    </w:p>
    <w:p w:rsidR="002C4057" w:rsidRPr="008C1E76" w:rsidRDefault="002C4057" w:rsidP="002C4057">
      <w:pPr>
        <w:pBdr>
          <w:left w:val="threeDEmboss" w:sz="24" w:space="1" w:color="2F5496"/>
          <w:bottom w:val="threeDEmboss" w:sz="24" w:space="1" w:color="2F5496"/>
        </w:pBdr>
        <w:spacing w:line="360" w:lineRule="auto"/>
        <w:jc w:val="center"/>
        <w:rPr>
          <w:szCs w:val="24"/>
          <w:lang w:eastAsia="es-AR"/>
        </w:rPr>
      </w:pPr>
      <w:r w:rsidRPr="008C1E76">
        <w:rPr>
          <w:szCs w:val="24"/>
          <w:lang w:eastAsia="es-AR"/>
        </w:rPr>
        <w:br/>
        <w:t>“No todo es inclusión”</w:t>
      </w:r>
    </w:p>
    <w:p w:rsidR="002C4057" w:rsidRPr="008C1E76" w:rsidRDefault="002C4057" w:rsidP="002C4057">
      <w:pPr>
        <w:pBdr>
          <w:left w:val="threeDEmboss" w:sz="24" w:space="1" w:color="2F5496"/>
          <w:bottom w:val="threeDEmboss" w:sz="24" w:space="1" w:color="2F5496"/>
        </w:pBdr>
        <w:spacing w:line="360" w:lineRule="auto"/>
        <w:jc w:val="center"/>
        <w:rPr>
          <w:szCs w:val="24"/>
          <w:lang w:eastAsia="es-AR"/>
        </w:rPr>
      </w:pPr>
    </w:p>
    <w:p w:rsidR="002C4057" w:rsidRPr="008C1E76" w:rsidRDefault="002C4057" w:rsidP="002C4057">
      <w:pPr>
        <w:pBdr>
          <w:left w:val="threeDEmboss" w:sz="24" w:space="1" w:color="2F5496"/>
          <w:bottom w:val="threeDEmboss" w:sz="24" w:space="1" w:color="2F5496"/>
        </w:pBdr>
        <w:spacing w:line="360" w:lineRule="auto"/>
        <w:rPr>
          <w:szCs w:val="24"/>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Comité organizador: </w:t>
      </w:r>
      <w:r w:rsidRPr="008C1E76">
        <w:rPr>
          <w:sz w:val="22"/>
          <w:szCs w:val="22"/>
          <w:lang w:eastAsia="es-AR"/>
        </w:rPr>
        <w:t>Diplomatura de inclusión escolar con orientación en TES de la Universidad Nacional de Tres de Febrero.</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r w:rsidRPr="008C1E76">
        <w:rPr>
          <w:b/>
          <w:bCs/>
          <w:sz w:val="22"/>
          <w:szCs w:val="22"/>
          <w:lang w:eastAsia="es-AR"/>
        </w:rPr>
        <w:t>Comité académico:</w:t>
      </w: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-Laura Kiel</w:t>
      </w:r>
      <w:r w:rsidRPr="008C1E76">
        <w:rPr>
          <w:sz w:val="22"/>
          <w:szCs w:val="22"/>
          <w:lang w:eastAsia="es-AR"/>
        </w:rPr>
        <w:t xml:space="preserve">: Psicoanalista. Miembro de la Escuela de la Orientación </w:t>
      </w:r>
      <w:proofErr w:type="spellStart"/>
      <w:r w:rsidRPr="008C1E76">
        <w:rPr>
          <w:sz w:val="22"/>
          <w:szCs w:val="22"/>
          <w:lang w:eastAsia="es-AR"/>
        </w:rPr>
        <w:t>Lacaniana</w:t>
      </w:r>
      <w:proofErr w:type="spellEnd"/>
      <w:r w:rsidRPr="008C1E76">
        <w:rPr>
          <w:sz w:val="22"/>
          <w:szCs w:val="22"/>
          <w:lang w:eastAsia="es-AR"/>
        </w:rPr>
        <w:t xml:space="preserve"> y de la Asociación Mundial del Psicoanálisis. Coordinadora de la Diplomatura en Inclusión Escolar con Orientación en Trastornos Emocionales Severos –TES- en la Universidad Nacional Tres de Febrero en sus modalidades presencial y virtual.</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-Gabriel </w:t>
      </w:r>
      <w:proofErr w:type="spellStart"/>
      <w:r w:rsidRPr="008C1E76">
        <w:rPr>
          <w:b/>
          <w:bCs/>
          <w:sz w:val="22"/>
          <w:szCs w:val="22"/>
          <w:lang w:eastAsia="es-AR"/>
        </w:rPr>
        <w:t>Asprella</w:t>
      </w:r>
      <w:proofErr w:type="spellEnd"/>
      <w:r w:rsidRPr="008C1E76">
        <w:rPr>
          <w:sz w:val="22"/>
          <w:szCs w:val="22"/>
          <w:lang w:eastAsia="es-AR"/>
        </w:rPr>
        <w:t xml:space="preserve">: Doctor en Educación (Universidad de Sevilla, España). Licenciado, Profesor y Maestro en Ciencias de la Educación (Universidad Nacional de La Plata). Investigador en las áreas de Política y Administración de la Educación, Pedagogía, Sistemas Educativos, Escuela Secundaria y Universidad. Investigador visitante en la Universidad Complutense de Madrid (España). Docente y coordinador académico de las carreras de Educación de grado. Docente de la Especialización en Docencia Universitaria. Director y evaluador de tesis doctorales y de maestría. Secretario de Extensión Universitaria y Bienestar de programas interinstitucionales e interuniversitarios locales e internacionales Erasmus. Miembro de la Sección Educación de la </w:t>
      </w:r>
      <w:proofErr w:type="spellStart"/>
      <w:r w:rsidRPr="008C1E76">
        <w:rPr>
          <w:sz w:val="22"/>
          <w:szCs w:val="22"/>
          <w:lang w:eastAsia="es-AR"/>
        </w:rPr>
        <w:t>Latin</w:t>
      </w:r>
      <w:proofErr w:type="spellEnd"/>
      <w:r w:rsidRPr="008C1E76">
        <w:rPr>
          <w:sz w:val="22"/>
          <w:szCs w:val="22"/>
          <w:lang w:eastAsia="es-AR"/>
        </w:rPr>
        <w:t xml:space="preserve"> American </w:t>
      </w:r>
      <w:proofErr w:type="spellStart"/>
      <w:r w:rsidRPr="008C1E76">
        <w:rPr>
          <w:sz w:val="22"/>
          <w:szCs w:val="22"/>
          <w:lang w:eastAsia="es-AR"/>
        </w:rPr>
        <w:t>Studies</w:t>
      </w:r>
      <w:proofErr w:type="spellEnd"/>
      <w:r>
        <w:rPr>
          <w:sz w:val="22"/>
          <w:szCs w:val="22"/>
          <w:lang w:eastAsia="es-AR"/>
        </w:rPr>
        <w:t xml:space="preserve"> </w:t>
      </w:r>
      <w:proofErr w:type="spellStart"/>
      <w:r w:rsidRPr="008C1E76">
        <w:rPr>
          <w:sz w:val="22"/>
          <w:szCs w:val="22"/>
          <w:lang w:eastAsia="es-AR"/>
        </w:rPr>
        <w:t>Association</w:t>
      </w:r>
      <w:proofErr w:type="spellEnd"/>
      <w:r w:rsidRPr="008C1E76">
        <w:rPr>
          <w:sz w:val="22"/>
          <w:szCs w:val="22"/>
          <w:lang w:eastAsia="es-AR"/>
        </w:rPr>
        <w:t xml:space="preserve"> (LASA).  </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-Carlos </w:t>
      </w:r>
      <w:proofErr w:type="spellStart"/>
      <w:r w:rsidRPr="008C1E76">
        <w:rPr>
          <w:b/>
          <w:bCs/>
          <w:sz w:val="22"/>
          <w:szCs w:val="22"/>
          <w:lang w:eastAsia="es-AR"/>
        </w:rPr>
        <w:t>Skliar</w:t>
      </w:r>
      <w:proofErr w:type="spellEnd"/>
      <w:r w:rsidRPr="008C1E76">
        <w:rPr>
          <w:sz w:val="22"/>
          <w:szCs w:val="22"/>
          <w:lang w:eastAsia="es-AR"/>
        </w:rPr>
        <w:t xml:space="preserve">: Doctor en Fonología con Especialidad en Problemas de la Comunicación Humana, realizó estudios de posgrado en el Consejo Nacional de Investigaciones de Italia, en la Universidad de Barcelona y en la Universidad Federal de Río Grande do Sul, Brasil. Fue Investigador Visitante del Consejo Nacional de Investigaciones Científicas de Italia y del Consejo </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noProof/>
          <w:sz w:val="22"/>
          <w:szCs w:val="22"/>
          <w:lang w:val="es-AR" w:eastAsia="es-AR"/>
        </w:rPr>
        <w:lastRenderedPageBreak/>
        <w:drawing>
          <wp:inline distT="0" distB="0" distL="0" distR="0">
            <wp:extent cx="1628775" cy="571500"/>
            <wp:effectExtent l="19050" t="0" r="9525"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sz w:val="22"/>
          <w:szCs w:val="22"/>
          <w:lang w:eastAsia="es-AR"/>
        </w:rPr>
        <w:t xml:space="preserve">Nacional de Investigaciones Científicas y Tecnológicas de Brasil; Profesor Titular de la Universidad Nacional de Cuyo y profesor Visitante en la Universidad Metropolitana de Santiago de Chile, en la Universidad de Barcelona, en la Universidad de </w:t>
      </w:r>
      <w:proofErr w:type="spellStart"/>
      <w:r w:rsidRPr="008C1E76">
        <w:rPr>
          <w:sz w:val="22"/>
          <w:szCs w:val="22"/>
          <w:lang w:eastAsia="es-AR"/>
        </w:rPr>
        <w:t>Siegen</w:t>
      </w:r>
      <w:proofErr w:type="spellEnd"/>
      <w:r w:rsidRPr="008C1E76">
        <w:rPr>
          <w:sz w:val="22"/>
          <w:szCs w:val="22"/>
          <w:lang w:eastAsia="es-AR"/>
        </w:rPr>
        <w:t xml:space="preserve"> (Alemania), en la Universidad Pedagógica de Bogotá y en la Universidad Pedagógica de Caracas.</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-Silvia </w:t>
      </w:r>
      <w:proofErr w:type="spellStart"/>
      <w:proofErr w:type="gramStart"/>
      <w:r w:rsidRPr="008C1E76">
        <w:rPr>
          <w:b/>
          <w:bCs/>
          <w:sz w:val="22"/>
          <w:szCs w:val="22"/>
          <w:lang w:eastAsia="es-AR"/>
        </w:rPr>
        <w:t>Tendlarz</w:t>
      </w:r>
      <w:proofErr w:type="spellEnd"/>
      <w:r w:rsidRPr="008C1E76">
        <w:rPr>
          <w:b/>
          <w:bCs/>
          <w:sz w:val="22"/>
          <w:szCs w:val="22"/>
          <w:lang w:eastAsia="es-AR"/>
        </w:rPr>
        <w:t xml:space="preserve"> :</w:t>
      </w:r>
      <w:proofErr w:type="gramEnd"/>
      <w:r w:rsidRPr="008C1E76">
        <w:rPr>
          <w:sz w:val="22"/>
          <w:szCs w:val="22"/>
          <w:lang w:eastAsia="es-AR"/>
        </w:rPr>
        <w:t xml:space="preserve"> Psicoanalista, Analista Miembro de la Escuela de la Orientación </w:t>
      </w:r>
      <w:proofErr w:type="spellStart"/>
      <w:r w:rsidRPr="008C1E76">
        <w:rPr>
          <w:sz w:val="22"/>
          <w:szCs w:val="22"/>
          <w:lang w:eastAsia="es-AR"/>
        </w:rPr>
        <w:t>Lacaniana</w:t>
      </w:r>
      <w:proofErr w:type="spellEnd"/>
      <w:r w:rsidRPr="008C1E76">
        <w:rPr>
          <w:sz w:val="22"/>
          <w:szCs w:val="22"/>
          <w:lang w:eastAsia="es-AR"/>
        </w:rPr>
        <w:t xml:space="preserve"> y de la Asociación Mundial de Psicoanálisis y  Miembro de la </w:t>
      </w:r>
      <w:proofErr w:type="spellStart"/>
      <w:r w:rsidRPr="008C1E76">
        <w:rPr>
          <w:sz w:val="22"/>
          <w:szCs w:val="22"/>
          <w:lang w:eastAsia="es-AR"/>
        </w:rPr>
        <w:t>Ecole</w:t>
      </w:r>
      <w:proofErr w:type="spellEnd"/>
      <w:r w:rsidRPr="008C1E76">
        <w:rPr>
          <w:sz w:val="22"/>
          <w:szCs w:val="22"/>
          <w:lang w:eastAsia="es-AR"/>
        </w:rPr>
        <w:t xml:space="preserve"> de la Cause </w:t>
      </w:r>
      <w:proofErr w:type="spellStart"/>
      <w:r w:rsidRPr="008C1E76">
        <w:rPr>
          <w:sz w:val="22"/>
          <w:szCs w:val="22"/>
          <w:lang w:eastAsia="es-AR"/>
        </w:rPr>
        <w:t>freudienne</w:t>
      </w:r>
      <w:proofErr w:type="spellEnd"/>
      <w:r w:rsidRPr="008C1E76">
        <w:rPr>
          <w:sz w:val="22"/>
          <w:szCs w:val="22"/>
          <w:lang w:eastAsia="es-AR"/>
        </w:rPr>
        <w:t xml:space="preserve"> de París. Desde el año 2018 es miembro del Consejo de la Asociación Mundial de Psicoanálisis. Obtuvo su "Doctorado en Psicología" en la Universidad del Salvador, Buenos Aires, en 1988; el "</w:t>
      </w:r>
      <w:proofErr w:type="spellStart"/>
      <w:r w:rsidRPr="008C1E76">
        <w:rPr>
          <w:sz w:val="22"/>
          <w:szCs w:val="22"/>
          <w:lang w:eastAsia="es-AR"/>
        </w:rPr>
        <w:t>Diplôme</w:t>
      </w:r>
      <w:proofErr w:type="spellEnd"/>
      <w:r>
        <w:rPr>
          <w:sz w:val="22"/>
          <w:szCs w:val="22"/>
          <w:lang w:eastAsia="es-AR"/>
        </w:rPr>
        <w:t xml:space="preserve"> </w:t>
      </w:r>
      <w:proofErr w:type="spellStart"/>
      <w:r w:rsidRPr="008C1E76">
        <w:rPr>
          <w:sz w:val="22"/>
          <w:szCs w:val="22"/>
          <w:lang w:eastAsia="es-AR"/>
        </w:rPr>
        <w:t>Supérieur</w:t>
      </w:r>
      <w:proofErr w:type="spellEnd"/>
      <w:r w:rsidRPr="008C1E76">
        <w:rPr>
          <w:sz w:val="22"/>
          <w:szCs w:val="22"/>
          <w:lang w:eastAsia="es-AR"/>
        </w:rPr>
        <w:t xml:space="preserve"> de </w:t>
      </w:r>
      <w:proofErr w:type="spellStart"/>
      <w:r w:rsidRPr="008C1E76">
        <w:rPr>
          <w:sz w:val="22"/>
          <w:szCs w:val="22"/>
          <w:lang w:eastAsia="es-AR"/>
        </w:rPr>
        <w:t>Recherche</w:t>
      </w:r>
      <w:proofErr w:type="spellEnd"/>
      <w:r w:rsidRPr="008C1E76">
        <w:rPr>
          <w:sz w:val="22"/>
          <w:szCs w:val="22"/>
          <w:lang w:eastAsia="es-AR"/>
        </w:rPr>
        <w:t xml:space="preserve"> en </w:t>
      </w:r>
      <w:proofErr w:type="spellStart"/>
      <w:r w:rsidRPr="008C1E76">
        <w:rPr>
          <w:sz w:val="22"/>
          <w:szCs w:val="22"/>
          <w:lang w:eastAsia="es-AR"/>
        </w:rPr>
        <w:t>Psychanalyse</w:t>
      </w:r>
      <w:proofErr w:type="spellEnd"/>
      <w:r w:rsidRPr="008C1E76">
        <w:rPr>
          <w:sz w:val="22"/>
          <w:szCs w:val="22"/>
          <w:lang w:eastAsia="es-AR"/>
        </w:rPr>
        <w:t>", Doctorado del Departamento de Psicoanálisis, en la Universidad de París VIII, París, en 1992; el "</w:t>
      </w:r>
      <w:proofErr w:type="spellStart"/>
      <w:r w:rsidRPr="008C1E76">
        <w:rPr>
          <w:sz w:val="22"/>
          <w:szCs w:val="22"/>
          <w:lang w:eastAsia="es-AR"/>
        </w:rPr>
        <w:t>Diplôme</w:t>
      </w:r>
      <w:proofErr w:type="spellEnd"/>
      <w:r>
        <w:rPr>
          <w:sz w:val="22"/>
          <w:szCs w:val="22"/>
          <w:lang w:eastAsia="es-AR"/>
        </w:rPr>
        <w:t xml:space="preserve"> </w:t>
      </w:r>
      <w:proofErr w:type="spellStart"/>
      <w:r w:rsidRPr="008C1E76">
        <w:rPr>
          <w:sz w:val="22"/>
          <w:szCs w:val="22"/>
          <w:lang w:eastAsia="es-AR"/>
        </w:rPr>
        <w:t>d'Etudes</w:t>
      </w:r>
      <w:proofErr w:type="spellEnd"/>
      <w:r>
        <w:rPr>
          <w:sz w:val="22"/>
          <w:szCs w:val="22"/>
          <w:lang w:eastAsia="es-AR"/>
        </w:rPr>
        <w:t xml:space="preserve"> </w:t>
      </w:r>
      <w:proofErr w:type="spellStart"/>
      <w:r w:rsidRPr="008C1E76">
        <w:rPr>
          <w:sz w:val="22"/>
          <w:szCs w:val="22"/>
          <w:lang w:eastAsia="es-AR"/>
        </w:rPr>
        <w:t>Approfondies</w:t>
      </w:r>
      <w:proofErr w:type="spellEnd"/>
      <w:r w:rsidRPr="008C1E76">
        <w:rPr>
          <w:sz w:val="22"/>
          <w:szCs w:val="22"/>
          <w:lang w:eastAsia="es-AR"/>
        </w:rPr>
        <w:t xml:space="preserve"> en </w:t>
      </w:r>
      <w:proofErr w:type="spellStart"/>
      <w:r w:rsidRPr="008C1E76">
        <w:rPr>
          <w:sz w:val="22"/>
          <w:szCs w:val="22"/>
          <w:lang w:eastAsia="es-AR"/>
        </w:rPr>
        <w:t>Psychanalyse</w:t>
      </w:r>
      <w:proofErr w:type="spellEnd"/>
      <w:r w:rsidRPr="008C1E76">
        <w:rPr>
          <w:sz w:val="22"/>
          <w:szCs w:val="22"/>
          <w:lang w:eastAsia="es-AR"/>
        </w:rPr>
        <w:t>", en el Departamento de Psicoanálisis de la Universidad de París VIII, París, en 1987; y su "</w:t>
      </w:r>
      <w:proofErr w:type="spellStart"/>
      <w:r w:rsidRPr="008C1E76">
        <w:rPr>
          <w:sz w:val="22"/>
          <w:szCs w:val="22"/>
          <w:lang w:eastAsia="es-AR"/>
        </w:rPr>
        <w:t>Diplôme</w:t>
      </w:r>
      <w:proofErr w:type="spellEnd"/>
      <w:r>
        <w:rPr>
          <w:sz w:val="22"/>
          <w:szCs w:val="22"/>
          <w:lang w:eastAsia="es-AR"/>
        </w:rPr>
        <w:t xml:space="preserve"> </w:t>
      </w:r>
      <w:proofErr w:type="spellStart"/>
      <w:r w:rsidRPr="008C1E76">
        <w:rPr>
          <w:sz w:val="22"/>
          <w:szCs w:val="22"/>
          <w:lang w:eastAsia="es-AR"/>
        </w:rPr>
        <w:t>d'Etudes</w:t>
      </w:r>
      <w:proofErr w:type="spellEnd"/>
      <w:r>
        <w:rPr>
          <w:sz w:val="22"/>
          <w:szCs w:val="22"/>
          <w:lang w:eastAsia="es-AR"/>
        </w:rPr>
        <w:t xml:space="preserve"> </w:t>
      </w:r>
      <w:proofErr w:type="spellStart"/>
      <w:r w:rsidRPr="008C1E76">
        <w:rPr>
          <w:sz w:val="22"/>
          <w:szCs w:val="22"/>
          <w:lang w:eastAsia="es-AR"/>
        </w:rPr>
        <w:t>Supérieures</w:t>
      </w:r>
      <w:proofErr w:type="spellEnd"/>
      <w:r>
        <w:rPr>
          <w:sz w:val="22"/>
          <w:szCs w:val="22"/>
          <w:lang w:eastAsia="es-AR"/>
        </w:rPr>
        <w:t xml:space="preserve"> </w:t>
      </w:r>
      <w:proofErr w:type="spellStart"/>
      <w:r w:rsidRPr="008C1E76">
        <w:rPr>
          <w:sz w:val="22"/>
          <w:szCs w:val="22"/>
          <w:lang w:eastAsia="es-AR"/>
        </w:rPr>
        <w:t>Spécialisé</w:t>
      </w:r>
      <w:proofErr w:type="spellEnd"/>
      <w:r>
        <w:rPr>
          <w:sz w:val="22"/>
          <w:szCs w:val="22"/>
          <w:lang w:eastAsia="es-AR"/>
        </w:rPr>
        <w:t xml:space="preserve"> </w:t>
      </w:r>
      <w:r w:rsidRPr="008C1E76">
        <w:rPr>
          <w:sz w:val="22"/>
          <w:szCs w:val="22"/>
          <w:lang w:eastAsia="es-AR"/>
        </w:rPr>
        <w:t xml:space="preserve">es en </w:t>
      </w:r>
      <w:proofErr w:type="spellStart"/>
      <w:r w:rsidRPr="008C1E76">
        <w:rPr>
          <w:sz w:val="22"/>
          <w:szCs w:val="22"/>
          <w:lang w:eastAsia="es-AR"/>
        </w:rPr>
        <w:t>Psychologie</w:t>
      </w:r>
      <w:proofErr w:type="spellEnd"/>
      <w:r>
        <w:rPr>
          <w:sz w:val="22"/>
          <w:szCs w:val="22"/>
          <w:lang w:eastAsia="es-AR"/>
        </w:rPr>
        <w:t xml:space="preserve"> </w:t>
      </w:r>
      <w:proofErr w:type="spellStart"/>
      <w:r w:rsidRPr="008C1E76">
        <w:rPr>
          <w:sz w:val="22"/>
          <w:szCs w:val="22"/>
          <w:lang w:eastAsia="es-AR"/>
        </w:rPr>
        <w:t>Clinique</w:t>
      </w:r>
      <w:proofErr w:type="spellEnd"/>
      <w:r w:rsidRPr="008C1E76">
        <w:rPr>
          <w:sz w:val="22"/>
          <w:szCs w:val="22"/>
          <w:lang w:eastAsia="es-AR"/>
        </w:rPr>
        <w:t xml:space="preserve"> et </w:t>
      </w:r>
      <w:proofErr w:type="spellStart"/>
      <w:r w:rsidRPr="008C1E76">
        <w:rPr>
          <w:sz w:val="22"/>
          <w:szCs w:val="22"/>
          <w:lang w:eastAsia="es-AR"/>
        </w:rPr>
        <w:t>Pathologique</w:t>
      </w:r>
      <w:proofErr w:type="spellEnd"/>
      <w:r w:rsidRPr="008C1E76">
        <w:rPr>
          <w:sz w:val="22"/>
          <w:szCs w:val="22"/>
          <w:lang w:eastAsia="es-AR"/>
        </w:rPr>
        <w:t xml:space="preserve">" en la Universidad de Rennes II, Haute </w:t>
      </w:r>
      <w:proofErr w:type="spellStart"/>
      <w:r w:rsidRPr="008C1E76">
        <w:rPr>
          <w:sz w:val="22"/>
          <w:szCs w:val="22"/>
          <w:lang w:eastAsia="es-AR"/>
        </w:rPr>
        <w:t>Bretagne</w:t>
      </w:r>
      <w:proofErr w:type="spellEnd"/>
      <w:r w:rsidRPr="008C1E76">
        <w:rPr>
          <w:sz w:val="22"/>
          <w:szCs w:val="22"/>
          <w:lang w:eastAsia="es-AR"/>
        </w:rPr>
        <w:t>, Rennes, en 1991.</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-Pablo García:</w:t>
      </w:r>
      <w:r w:rsidRPr="008C1E76">
        <w:rPr>
          <w:sz w:val="22"/>
          <w:szCs w:val="22"/>
          <w:lang w:eastAsia="es-AR"/>
        </w:rPr>
        <w:t xml:space="preserve"> Doctor en Educación. Magister en Políticas y Administración de la Educación Especialista en Gestión Educativa. Licenciado en Ciencias de la Educación. Profesor e Investigador en Universidad Nacional de Tres de Febrero. Coordinador Académico del Programa de Posgrados en Políticas y Administración de la Educación en UNTREF. Investigador Asistente CONICET.</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-Patricia </w:t>
      </w:r>
      <w:proofErr w:type="spellStart"/>
      <w:r w:rsidRPr="008C1E76">
        <w:rPr>
          <w:b/>
          <w:bCs/>
          <w:sz w:val="22"/>
          <w:szCs w:val="22"/>
          <w:lang w:eastAsia="es-AR"/>
        </w:rPr>
        <w:t>Sadovsky</w:t>
      </w:r>
      <w:proofErr w:type="spellEnd"/>
      <w:r w:rsidRPr="008C1E76">
        <w:rPr>
          <w:sz w:val="22"/>
          <w:szCs w:val="22"/>
          <w:lang w:eastAsia="es-AR"/>
        </w:rPr>
        <w:t xml:space="preserve">: Doctora en Didáctica de la Matemática. Profesora de Matemática por el Instituto Nacional del Profesorado Joaquín V. González. Profesora del área de Didáctica de la Matemática de la Universidad Pedagógica (UNIPE). Se ha desempeñado como docente en las universidades de Buenos Aires, del Nordeste, UTN, </w:t>
      </w:r>
      <w:proofErr w:type="spellStart"/>
      <w:r w:rsidRPr="008C1E76">
        <w:rPr>
          <w:sz w:val="22"/>
          <w:szCs w:val="22"/>
          <w:lang w:eastAsia="es-AR"/>
        </w:rPr>
        <w:t>Comahue</w:t>
      </w:r>
      <w:proofErr w:type="spellEnd"/>
      <w:r w:rsidRPr="008C1E76">
        <w:rPr>
          <w:sz w:val="22"/>
          <w:szCs w:val="22"/>
          <w:lang w:eastAsia="es-AR"/>
        </w:rPr>
        <w:t>, Salta, Patagonia Austral y FLACSO. Ha sido asesora del proyecto Escuela que vale, del Centro de Educación y Documentación para la Acción Comunitaria de San Pablo, Brasil.</w:t>
      </w: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r w:rsidRPr="008C1E76">
        <w:rPr>
          <w:b/>
          <w:noProof/>
          <w:sz w:val="22"/>
          <w:szCs w:val="22"/>
          <w:lang w:val="es-AR" w:eastAsia="es-AR"/>
        </w:rPr>
        <w:drawing>
          <wp:inline distT="0" distB="0" distL="0" distR="0">
            <wp:extent cx="1628775" cy="571500"/>
            <wp:effectExtent l="19050" t="0" r="9525" b="0"/>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1"/>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-Perla </w:t>
      </w:r>
      <w:proofErr w:type="spellStart"/>
      <w:r w:rsidRPr="008C1E76">
        <w:rPr>
          <w:b/>
          <w:bCs/>
          <w:sz w:val="22"/>
          <w:szCs w:val="22"/>
          <w:lang w:eastAsia="es-AR"/>
        </w:rPr>
        <w:t>Zelmanovich</w:t>
      </w:r>
      <w:proofErr w:type="spellEnd"/>
      <w:r w:rsidRPr="008C1E76">
        <w:rPr>
          <w:sz w:val="22"/>
          <w:szCs w:val="22"/>
          <w:lang w:eastAsia="es-AR"/>
        </w:rPr>
        <w:t xml:space="preserve">: Licenciada en Psicología (UBA), Mg. en Educación y Dra. </w:t>
      </w:r>
      <w:proofErr w:type="gramStart"/>
      <w:r w:rsidRPr="008C1E76">
        <w:rPr>
          <w:sz w:val="22"/>
          <w:szCs w:val="22"/>
          <w:lang w:eastAsia="es-AR"/>
        </w:rPr>
        <w:t>en</w:t>
      </w:r>
      <w:proofErr w:type="gramEnd"/>
      <w:r w:rsidRPr="008C1E76">
        <w:rPr>
          <w:sz w:val="22"/>
          <w:szCs w:val="22"/>
          <w:lang w:eastAsia="es-AR"/>
        </w:rPr>
        <w:t xml:space="preserve"> Ciencias Sociales por FLACSO- Argentina. Dirige investigaciones centradas en tres ejes: El malestar en la cultura educativa y sus puntos críticos; Configuraciones </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roofErr w:type="gramStart"/>
      <w:r w:rsidRPr="008C1E76">
        <w:rPr>
          <w:sz w:val="22"/>
          <w:szCs w:val="22"/>
          <w:lang w:eastAsia="es-AR"/>
        </w:rPr>
        <w:t>contemporáneas</w:t>
      </w:r>
      <w:proofErr w:type="gramEnd"/>
      <w:r w:rsidRPr="008C1E76">
        <w:rPr>
          <w:sz w:val="22"/>
          <w:szCs w:val="22"/>
          <w:lang w:eastAsia="es-AR"/>
        </w:rPr>
        <w:t xml:space="preserve"> de la segregación: abordajes en las prácticas profesionales; Clínica socio-educativa, para abordar el malestar educativo. Es Directora Académica del Programa de Psicoanálisis y Prácticas Socioeducativas, FLACSO Argentina- Educación, donde dirige la </w:t>
      </w:r>
      <w:r w:rsidRPr="008C1E76">
        <w:rPr>
          <w:sz w:val="22"/>
          <w:szCs w:val="22"/>
          <w:lang w:eastAsia="es-AR"/>
        </w:rPr>
        <w:lastRenderedPageBreak/>
        <w:t>carrera de especialización homónima con modalidad virtual. Practicante del psicoanálisis en la clínica individual y en la producción de una clínica socioeducativa.</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b/>
          <w:bCs/>
          <w:sz w:val="22"/>
          <w:szCs w:val="22"/>
          <w:lang w:eastAsia="es-AR"/>
        </w:rPr>
        <w:t xml:space="preserve">-Gabriela </w:t>
      </w:r>
      <w:proofErr w:type="spellStart"/>
      <w:r w:rsidRPr="008C1E76">
        <w:rPr>
          <w:b/>
          <w:bCs/>
          <w:sz w:val="22"/>
          <w:szCs w:val="22"/>
          <w:lang w:eastAsia="es-AR"/>
        </w:rPr>
        <w:t>Dicker</w:t>
      </w:r>
      <w:proofErr w:type="spellEnd"/>
      <w:r w:rsidRPr="008C1E76">
        <w:rPr>
          <w:sz w:val="22"/>
          <w:szCs w:val="22"/>
          <w:lang w:eastAsia="es-AR"/>
        </w:rPr>
        <w:t xml:space="preserve">: Licenciada en Ciencias de la Educación de la Universidad de Buenos Aires (UBA) y doctora en Educación, con énfasis en Historia de la Educación y la Pedagogía en Universidad del Valle, Colombia. Realizó estudios post-doctorales en la Universidad de Valladolid, España. Se desempeñó como docente e investigadora en la Universidad de Buenos Aires y la Facultad Latinoamericana de Ciencias Sociales (FLACSO). Rectora de la Universidad Nacional de General Sarmiento. </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b/>
          <w:bCs/>
          <w:sz w:val="22"/>
          <w:szCs w:val="22"/>
          <w:lang w:val="es-AR" w:eastAsia="es-AR"/>
        </w:rPr>
      </w:pPr>
      <w:r w:rsidRPr="008C1E76">
        <w:rPr>
          <w:b/>
          <w:bCs/>
          <w:sz w:val="22"/>
          <w:szCs w:val="22"/>
          <w:lang w:val="es-AR" w:eastAsia="es-AR"/>
        </w:rPr>
        <w:t>Invitados:</w:t>
      </w:r>
    </w:p>
    <w:p w:rsidR="002C4057" w:rsidRPr="008C1E76" w:rsidRDefault="002C4057" w:rsidP="002C4057">
      <w:pPr>
        <w:pBdr>
          <w:left w:val="threeDEmboss" w:sz="24" w:space="1" w:color="2F5496"/>
          <w:bottom w:val="threeDEmboss" w:sz="24" w:space="1" w:color="2F5496"/>
        </w:pBdr>
        <w:spacing w:line="360" w:lineRule="auto"/>
        <w:rPr>
          <w:sz w:val="22"/>
          <w:szCs w:val="22"/>
          <w:lang w:val="es-AR" w:eastAsia="es-AR"/>
        </w:rPr>
      </w:pPr>
      <w:r w:rsidRPr="008C1E76">
        <w:rPr>
          <w:sz w:val="22"/>
          <w:szCs w:val="22"/>
          <w:lang w:val="es-AR" w:eastAsia="es-AR"/>
        </w:rPr>
        <w:t xml:space="preserve">-Dana </w:t>
      </w:r>
      <w:proofErr w:type="spellStart"/>
      <w:r w:rsidRPr="008C1E76">
        <w:rPr>
          <w:sz w:val="22"/>
          <w:szCs w:val="22"/>
          <w:lang w:val="es-AR" w:eastAsia="es-AR"/>
        </w:rPr>
        <w:t>Hirsch</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val="es-AR" w:eastAsia="es-AR"/>
        </w:rPr>
      </w:pPr>
      <w:r w:rsidRPr="008C1E76">
        <w:rPr>
          <w:sz w:val="22"/>
          <w:szCs w:val="22"/>
          <w:lang w:val="es-AR" w:eastAsia="es-AR"/>
        </w:rPr>
        <w:t>-</w:t>
      </w:r>
      <w:proofErr w:type="spellStart"/>
      <w:r w:rsidRPr="008C1E76">
        <w:rPr>
          <w:sz w:val="22"/>
          <w:szCs w:val="22"/>
          <w:lang w:val="es-AR" w:eastAsia="es-AR"/>
        </w:rPr>
        <w:t>MatiasMoscardi</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val="es-AR" w:eastAsia="es-AR"/>
        </w:rPr>
      </w:pPr>
      <w:r w:rsidRPr="008C1E76">
        <w:rPr>
          <w:sz w:val="22"/>
          <w:szCs w:val="22"/>
          <w:lang w:val="es-AR" w:eastAsia="es-AR"/>
        </w:rPr>
        <w:t xml:space="preserve">-Viviana </w:t>
      </w:r>
      <w:proofErr w:type="spellStart"/>
      <w:r w:rsidRPr="008C1E76">
        <w:rPr>
          <w:sz w:val="22"/>
          <w:szCs w:val="22"/>
          <w:lang w:val="es-AR" w:eastAsia="es-AR"/>
        </w:rPr>
        <w:t>Postay</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sz w:val="22"/>
          <w:szCs w:val="22"/>
          <w:lang w:eastAsia="es-AR"/>
        </w:rPr>
        <w:t xml:space="preserve">-Pablo </w:t>
      </w:r>
      <w:proofErr w:type="spellStart"/>
      <w:r w:rsidRPr="008C1E76">
        <w:rPr>
          <w:sz w:val="22"/>
          <w:szCs w:val="22"/>
          <w:lang w:eastAsia="es-AR"/>
        </w:rPr>
        <w:t>Piccinni</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sz w:val="22"/>
          <w:szCs w:val="22"/>
          <w:lang w:eastAsia="es-AR"/>
        </w:rPr>
        <w:t xml:space="preserve">-Claudia </w:t>
      </w:r>
      <w:proofErr w:type="spellStart"/>
      <w:r w:rsidRPr="008C1E76">
        <w:rPr>
          <w:sz w:val="22"/>
          <w:szCs w:val="22"/>
          <w:lang w:eastAsia="es-AR"/>
        </w:rPr>
        <w:t>Lorenzetti</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sz w:val="22"/>
          <w:szCs w:val="22"/>
          <w:lang w:eastAsia="es-AR"/>
        </w:rPr>
        <w:t>-Julieta Armella</w:t>
      </w:r>
    </w:p>
    <w:p w:rsidR="002C4057" w:rsidRPr="008C1E76" w:rsidRDefault="002C4057" w:rsidP="002C4057">
      <w:pPr>
        <w:pBdr>
          <w:left w:val="threeDEmboss" w:sz="24" w:space="1" w:color="2F5496"/>
          <w:bottom w:val="threeDEmboss" w:sz="24" w:space="1" w:color="2F5496"/>
        </w:pBdr>
        <w:spacing w:line="360" w:lineRule="auto"/>
        <w:rPr>
          <w:sz w:val="22"/>
          <w:szCs w:val="22"/>
          <w:lang w:val="pt-BR" w:eastAsia="es-AR"/>
        </w:rPr>
      </w:pPr>
      <w:r w:rsidRPr="008C1E76">
        <w:rPr>
          <w:sz w:val="22"/>
          <w:szCs w:val="22"/>
          <w:lang w:val="pt-BR" w:eastAsia="es-AR"/>
        </w:rPr>
        <w:t xml:space="preserve">-Silvia </w:t>
      </w:r>
      <w:proofErr w:type="spellStart"/>
      <w:r w:rsidRPr="008C1E76">
        <w:rPr>
          <w:sz w:val="22"/>
          <w:szCs w:val="22"/>
          <w:lang w:val="pt-BR" w:eastAsia="es-AR"/>
        </w:rPr>
        <w:t>Dubrovsky</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val="pt-BR" w:eastAsia="es-AR"/>
        </w:rPr>
      </w:pPr>
      <w:r w:rsidRPr="008C1E76">
        <w:rPr>
          <w:sz w:val="22"/>
          <w:szCs w:val="22"/>
          <w:lang w:val="pt-BR" w:eastAsia="es-AR"/>
        </w:rPr>
        <w:t>-Claudia Loyola</w:t>
      </w:r>
    </w:p>
    <w:p w:rsidR="002C4057" w:rsidRPr="008C1E76" w:rsidRDefault="002C4057" w:rsidP="002C4057">
      <w:pPr>
        <w:pBdr>
          <w:left w:val="threeDEmboss" w:sz="24" w:space="1" w:color="2F5496"/>
          <w:bottom w:val="threeDEmboss" w:sz="24" w:space="1" w:color="2F5496"/>
        </w:pBdr>
        <w:spacing w:line="360" w:lineRule="auto"/>
        <w:rPr>
          <w:sz w:val="22"/>
          <w:szCs w:val="22"/>
          <w:lang w:val="pt-BR" w:eastAsia="es-AR"/>
        </w:rPr>
      </w:pPr>
      <w:r w:rsidRPr="008C1E76">
        <w:rPr>
          <w:sz w:val="22"/>
          <w:szCs w:val="22"/>
          <w:lang w:val="pt-BR" w:eastAsia="es-AR"/>
        </w:rPr>
        <w:t xml:space="preserve">-Silvia </w:t>
      </w:r>
      <w:proofErr w:type="spellStart"/>
      <w:r w:rsidRPr="008C1E76">
        <w:rPr>
          <w:sz w:val="22"/>
          <w:szCs w:val="22"/>
          <w:lang w:val="pt-BR" w:eastAsia="es-AR"/>
        </w:rPr>
        <w:t>Bernatene</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val="pt-BR" w:eastAsia="es-AR"/>
        </w:rPr>
      </w:pPr>
      <w:r w:rsidRPr="008C1E76">
        <w:rPr>
          <w:sz w:val="22"/>
          <w:szCs w:val="22"/>
          <w:lang w:val="pt-BR" w:eastAsia="es-AR"/>
        </w:rPr>
        <w:t xml:space="preserve">-Daniela </w:t>
      </w:r>
      <w:proofErr w:type="spellStart"/>
      <w:r w:rsidRPr="008C1E76">
        <w:rPr>
          <w:sz w:val="22"/>
          <w:szCs w:val="22"/>
          <w:lang w:val="pt-BR" w:eastAsia="es-AR"/>
        </w:rPr>
        <w:t>Teggi</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val="pt-BR" w:eastAsia="es-AR"/>
        </w:rPr>
      </w:pPr>
      <w:r w:rsidRPr="008C1E76">
        <w:rPr>
          <w:sz w:val="22"/>
          <w:szCs w:val="22"/>
          <w:lang w:val="pt-BR" w:eastAsia="es-AR"/>
        </w:rPr>
        <w:t>-Rosendo Ruiz</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sz w:val="22"/>
          <w:szCs w:val="22"/>
          <w:lang w:eastAsia="es-AR"/>
        </w:rPr>
        <w:t xml:space="preserve">-María </w:t>
      </w:r>
      <w:proofErr w:type="spellStart"/>
      <w:r w:rsidRPr="008C1E76">
        <w:rPr>
          <w:sz w:val="22"/>
          <w:szCs w:val="22"/>
          <w:lang w:eastAsia="es-AR"/>
        </w:rPr>
        <w:t>Mangone</w:t>
      </w:r>
      <w:proofErr w:type="spellEnd"/>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sz w:val="22"/>
          <w:szCs w:val="22"/>
          <w:lang w:eastAsia="es-AR"/>
        </w:rPr>
        <w:t>-Otros</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r w:rsidRPr="008C1E76">
        <w:rPr>
          <w:noProof/>
          <w:sz w:val="22"/>
          <w:szCs w:val="22"/>
          <w:lang w:val="es-AR" w:eastAsia="es-AR"/>
        </w:rPr>
        <w:drawing>
          <wp:inline distT="0" distB="0" distL="0" distR="0">
            <wp:extent cx="1628775" cy="571500"/>
            <wp:effectExtent l="19050" t="0" r="9525"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b/>
          <w:bCs/>
          <w:sz w:val="22"/>
          <w:szCs w:val="22"/>
          <w:lang w:eastAsia="es-AR"/>
        </w:rPr>
      </w:pPr>
      <w:r w:rsidRPr="008C1E76">
        <w:rPr>
          <w:b/>
          <w:bCs/>
          <w:sz w:val="22"/>
          <w:szCs w:val="22"/>
          <w:lang w:eastAsia="es-AR"/>
        </w:rPr>
        <w:t>EJES TEMÁTICOS:</w:t>
      </w:r>
    </w:p>
    <w:p w:rsidR="002C4057" w:rsidRPr="008C1E76" w:rsidRDefault="002C4057" w:rsidP="002C4057">
      <w:pPr>
        <w:pBdr>
          <w:left w:val="threeDEmboss" w:sz="24" w:space="1" w:color="2F5496"/>
          <w:bottom w:val="threeDEmboss" w:sz="24" w:space="1" w:color="2F5496"/>
        </w:pBdr>
        <w:spacing w:line="360" w:lineRule="auto"/>
        <w:rPr>
          <w:sz w:val="22"/>
          <w:szCs w:val="22"/>
          <w:u w:val="single"/>
          <w:lang w:eastAsia="es-AR"/>
        </w:rPr>
      </w:pPr>
      <w:r w:rsidRPr="008C1E76">
        <w:rPr>
          <w:sz w:val="22"/>
          <w:szCs w:val="22"/>
          <w:u w:val="single"/>
          <w:lang w:eastAsia="es-AR"/>
        </w:rPr>
        <w:t>Eje 1: La inclusión como rasgo de época</w:t>
      </w:r>
    </w:p>
    <w:p w:rsidR="002C4057" w:rsidRPr="008C1E76" w:rsidRDefault="002C4057" w:rsidP="002C4057">
      <w:pPr>
        <w:pBdr>
          <w:left w:val="threeDEmboss" w:sz="24" w:space="1" w:color="2F5496"/>
          <w:bottom w:val="threeDEmboss" w:sz="24" w:space="1" w:color="2F5496"/>
        </w:pBdr>
        <w:spacing w:before="100" w:beforeAutospacing="1" w:after="100" w:afterAutospacing="1" w:line="360" w:lineRule="auto"/>
        <w:rPr>
          <w:sz w:val="22"/>
          <w:szCs w:val="22"/>
          <w:lang w:eastAsia="es-AR"/>
        </w:rPr>
      </w:pPr>
      <w:r w:rsidRPr="008C1E76">
        <w:rPr>
          <w:sz w:val="22"/>
          <w:szCs w:val="22"/>
          <w:lang w:eastAsia="es-AR"/>
        </w:rPr>
        <w:t xml:space="preserve">Hace treinta años el filósofo </w:t>
      </w:r>
      <w:proofErr w:type="spellStart"/>
      <w:r w:rsidRPr="008C1E76">
        <w:rPr>
          <w:sz w:val="22"/>
          <w:szCs w:val="22"/>
          <w:lang w:eastAsia="es-AR"/>
        </w:rPr>
        <w:t>Gilles</w:t>
      </w:r>
      <w:proofErr w:type="spellEnd"/>
      <w:r w:rsidRPr="008C1E76">
        <w:rPr>
          <w:sz w:val="22"/>
          <w:szCs w:val="22"/>
          <w:lang w:eastAsia="es-AR"/>
        </w:rPr>
        <w:t xml:space="preserve"> </w:t>
      </w:r>
      <w:proofErr w:type="spellStart"/>
      <w:r w:rsidRPr="008C1E76">
        <w:rPr>
          <w:sz w:val="22"/>
          <w:szCs w:val="22"/>
          <w:lang w:eastAsia="es-AR"/>
        </w:rPr>
        <w:t>Deleuze</w:t>
      </w:r>
      <w:proofErr w:type="spellEnd"/>
      <w:r w:rsidRPr="008C1E76">
        <w:rPr>
          <w:rStyle w:val="Refdenotaalpie"/>
          <w:sz w:val="22"/>
          <w:szCs w:val="22"/>
          <w:lang w:eastAsia="es-AR"/>
        </w:rPr>
        <w:footnoteReference w:id="1"/>
      </w:r>
      <w:r w:rsidRPr="008C1E76">
        <w:rPr>
          <w:sz w:val="22"/>
          <w:szCs w:val="22"/>
          <w:lang w:eastAsia="es-AR"/>
        </w:rPr>
        <w:t xml:space="preserve"> describió el pasaje de una sociedad de los moldes y los límites (la vieja sociedad disciplinaria) a otra de la modulación infinita en un espacio y un tiempo sin límites claros (las nuevas sociedades de control). En una época como la nuestra, </w:t>
      </w:r>
      <w:r w:rsidRPr="008C1E76">
        <w:rPr>
          <w:sz w:val="22"/>
          <w:szCs w:val="22"/>
          <w:lang w:eastAsia="es-AR"/>
        </w:rPr>
        <w:lastRenderedPageBreak/>
        <w:t xml:space="preserve">donde se borran los antiguos límites que cuadriculaban la vida individual y colectiva, este eje propone pensar la inclusión escolar tomando en cuenta sus propios límites. Hay muchos tipos de límites que pueden ser considerados: límites disciplinares, límites éticos, límites lógicos, límites políticos, límites epistémicos. En todos estos casos, el objetivo es reconocer los límites posibilitadores de las prácticas escolares a favor de la inclusión. ¿Por qué prestar atención a lo que hace de límite a la inclusión? Para poder cuestionar algunos discursos de época que empujan al todo, como el cientificismo o el neoliberalismo, que irrumpen en la arena escolar mediante fenómenos como la judicialización, la entrada al aula de discursos propios de la salud mental, la proliferación de diagnósticos en la infancia con prácticas </w:t>
      </w:r>
      <w:proofErr w:type="spellStart"/>
      <w:r w:rsidRPr="008C1E76">
        <w:rPr>
          <w:sz w:val="22"/>
          <w:szCs w:val="22"/>
          <w:lang w:eastAsia="es-AR"/>
        </w:rPr>
        <w:t>hiper</w:t>
      </w:r>
      <w:proofErr w:type="spellEnd"/>
      <w:r w:rsidRPr="008C1E76">
        <w:rPr>
          <w:sz w:val="22"/>
          <w:szCs w:val="22"/>
          <w:lang w:eastAsia="es-AR"/>
        </w:rPr>
        <w:t xml:space="preserve"> intervencionistas, las corrientes que apelan a la autogestión de las emociones, etc. Nos interesa escuchar y conversar con quienes sostienen experiencias institucionales que habiliten una escuela inclusiva posible, a contrapelo de los empujes de la época o surfeando sus embates arrasadores. Esperamos aprender sobre la escuela de esta época de quienes están día a día en las aulas y en las instituciones.</w:t>
      </w:r>
    </w:p>
    <w:p w:rsidR="002C4057" w:rsidRPr="008C1E76" w:rsidRDefault="002C4057" w:rsidP="002C4057">
      <w:pPr>
        <w:pBdr>
          <w:left w:val="threeDEmboss" w:sz="24" w:space="1" w:color="2F5496"/>
          <w:bottom w:val="threeDEmboss" w:sz="24" w:space="1" w:color="2F5496"/>
        </w:pBdr>
        <w:spacing w:before="100" w:beforeAutospacing="1" w:after="100" w:afterAutospacing="1"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before="100" w:beforeAutospacing="1" w:after="100" w:afterAutospacing="1"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before="100" w:beforeAutospacing="1" w:after="100" w:afterAutospacing="1"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before="100" w:beforeAutospacing="1" w:after="100" w:afterAutospacing="1" w:line="360" w:lineRule="auto"/>
        <w:rPr>
          <w:sz w:val="22"/>
          <w:szCs w:val="22"/>
          <w:lang w:eastAsia="es-AR"/>
        </w:rPr>
      </w:pPr>
      <w:r w:rsidRPr="008C1E76">
        <w:rPr>
          <w:noProof/>
          <w:sz w:val="22"/>
          <w:szCs w:val="22"/>
          <w:lang w:val="es-AR" w:eastAsia="es-AR"/>
        </w:rPr>
        <w:drawing>
          <wp:inline distT="0" distB="0" distL="0" distR="0">
            <wp:extent cx="1628775" cy="571500"/>
            <wp:effectExtent l="19050" t="0" r="9525" b="0"/>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1"/>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Bdr>
          <w:left w:val="threeDEmboss" w:sz="24" w:space="1" w:color="2F5496"/>
          <w:bottom w:val="threeDEmboss" w:sz="24" w:space="1" w:color="2F5496"/>
        </w:pBdr>
        <w:spacing w:before="100" w:beforeAutospacing="1" w:after="100" w:afterAutospacing="1" w:line="360" w:lineRule="auto"/>
        <w:rPr>
          <w:sz w:val="22"/>
          <w:szCs w:val="22"/>
          <w:lang w:eastAsia="es-AR"/>
        </w:rPr>
      </w:pPr>
      <w:r w:rsidRPr="008C1E76">
        <w:rPr>
          <w:sz w:val="22"/>
          <w:szCs w:val="22"/>
          <w:lang w:eastAsia="es-AR"/>
        </w:rPr>
        <w:t>Líneas de trabajo propuestas:</w:t>
      </w:r>
    </w:p>
    <w:p w:rsidR="002C4057" w:rsidRPr="008C1E76" w:rsidRDefault="002C4057" w:rsidP="002C4057">
      <w:pPr>
        <w:pStyle w:val="Prrafodelista"/>
        <w:numPr>
          <w:ilvl w:val="0"/>
          <w:numId w:val="1"/>
        </w:numPr>
        <w:pBdr>
          <w:left w:val="threeDEmboss" w:sz="24" w:space="1" w:color="2F5496"/>
          <w:bottom w:val="threeDEmboss" w:sz="24" w:space="1" w:color="2F5496"/>
        </w:pBdr>
        <w:spacing w:after="0" w:line="360" w:lineRule="auto"/>
        <w:jc w:val="both"/>
        <w:rPr>
          <w:rFonts w:ascii="Times New Roman" w:eastAsia="Times New Roman" w:hAnsi="Times New Roman"/>
          <w:lang w:eastAsia="es-AR"/>
        </w:rPr>
      </w:pPr>
      <w:r w:rsidRPr="008C1E76">
        <w:rPr>
          <w:rFonts w:ascii="Times New Roman" w:eastAsia="Times New Roman" w:hAnsi="Times New Roman"/>
          <w:lang w:eastAsia="es-AR"/>
        </w:rPr>
        <w:t xml:space="preserve">Los desafíos, los límites y las posibilidades de hacer inclusión a contrapelo de los imperativos de la época. </w:t>
      </w:r>
    </w:p>
    <w:p w:rsidR="002C4057" w:rsidRPr="008C1E76" w:rsidRDefault="002C4057" w:rsidP="002C4057">
      <w:pPr>
        <w:pStyle w:val="Prrafodelista"/>
        <w:numPr>
          <w:ilvl w:val="0"/>
          <w:numId w:val="1"/>
        </w:numPr>
        <w:pBdr>
          <w:left w:val="threeDEmboss" w:sz="24" w:space="1" w:color="2F5496"/>
          <w:bottom w:val="threeDEmboss" w:sz="24" w:space="1" w:color="2F5496"/>
        </w:pBdr>
        <w:spacing w:after="0" w:line="360" w:lineRule="auto"/>
        <w:jc w:val="both"/>
        <w:rPr>
          <w:rFonts w:ascii="Times New Roman" w:eastAsia="Times New Roman" w:hAnsi="Times New Roman"/>
          <w:lang w:eastAsia="es-AR"/>
        </w:rPr>
      </w:pPr>
      <w:r w:rsidRPr="008C1E76">
        <w:rPr>
          <w:rFonts w:ascii="Times New Roman" w:eastAsia="Times New Roman" w:hAnsi="Times New Roman"/>
          <w:lang w:eastAsia="es-AR"/>
        </w:rPr>
        <w:t xml:space="preserve">La inclusión como derecho generalizado y, a la vez, como objeto de consumo. </w:t>
      </w:r>
    </w:p>
    <w:p w:rsidR="002C4057" w:rsidRPr="008C1E76" w:rsidRDefault="002C4057" w:rsidP="002C4057">
      <w:pPr>
        <w:pStyle w:val="Prrafodelista"/>
        <w:numPr>
          <w:ilvl w:val="0"/>
          <w:numId w:val="1"/>
        </w:numPr>
        <w:pBdr>
          <w:left w:val="threeDEmboss" w:sz="24" w:space="1" w:color="2F5496"/>
          <w:bottom w:val="threeDEmboss" w:sz="24" w:space="1" w:color="2F5496"/>
        </w:pBdr>
        <w:spacing w:after="0" w:line="360" w:lineRule="auto"/>
        <w:jc w:val="both"/>
        <w:rPr>
          <w:rFonts w:ascii="Times New Roman" w:eastAsia="Times New Roman" w:hAnsi="Times New Roman"/>
          <w:lang w:eastAsia="es-AR"/>
        </w:rPr>
      </w:pPr>
      <w:r w:rsidRPr="008C1E76">
        <w:rPr>
          <w:rFonts w:ascii="Times New Roman" w:eastAsia="Times New Roman" w:hAnsi="Times New Roman"/>
          <w:lang w:eastAsia="es-AR"/>
        </w:rPr>
        <w:t xml:space="preserve">Las fronteras disciplinares entre las ciencias de la salud y las ciencias de la educación. </w:t>
      </w:r>
    </w:p>
    <w:p w:rsidR="002C4057" w:rsidRPr="008C1E76" w:rsidRDefault="002C4057" w:rsidP="002C4057">
      <w:pPr>
        <w:pStyle w:val="Prrafodelista"/>
        <w:numPr>
          <w:ilvl w:val="0"/>
          <w:numId w:val="1"/>
        </w:numPr>
        <w:pBdr>
          <w:left w:val="threeDEmboss" w:sz="24" w:space="1" w:color="2F5496"/>
          <w:bottom w:val="threeDEmboss" w:sz="24" w:space="1" w:color="2F5496"/>
        </w:pBdr>
        <w:spacing w:after="0" w:line="360" w:lineRule="auto"/>
        <w:jc w:val="both"/>
        <w:rPr>
          <w:rFonts w:ascii="Times New Roman" w:eastAsia="Times New Roman" w:hAnsi="Times New Roman"/>
          <w:lang w:eastAsia="es-AR"/>
        </w:rPr>
      </w:pPr>
      <w:r w:rsidRPr="008C1E76">
        <w:rPr>
          <w:rFonts w:ascii="Times New Roman" w:eastAsia="Times New Roman" w:hAnsi="Times New Roman"/>
          <w:lang w:eastAsia="es-AR"/>
        </w:rPr>
        <w:t xml:space="preserve">Una inclusión orientada por las condiciones de posibilidad. </w:t>
      </w: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lang w:eastAsia="es-AR"/>
        </w:rPr>
      </w:pPr>
    </w:p>
    <w:p w:rsidR="002C4057" w:rsidRPr="008C1E76" w:rsidRDefault="002C4057" w:rsidP="002C4057">
      <w:pPr>
        <w:pBdr>
          <w:left w:val="threeDEmboss" w:sz="24" w:space="1" w:color="2F5496"/>
          <w:bottom w:val="threeDEmboss" w:sz="24" w:space="1" w:color="2F5496"/>
        </w:pBdr>
        <w:spacing w:line="360" w:lineRule="auto"/>
        <w:rPr>
          <w:sz w:val="22"/>
          <w:szCs w:val="22"/>
          <w:u w:val="single"/>
          <w:lang w:eastAsia="es-AR"/>
        </w:rPr>
      </w:pPr>
      <w:r w:rsidRPr="008C1E76">
        <w:rPr>
          <w:sz w:val="22"/>
          <w:szCs w:val="22"/>
          <w:u w:val="single"/>
          <w:lang w:eastAsia="es-AR"/>
        </w:rPr>
        <w:t>Eje 2: Lo común como función de la escuela</w:t>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sz w:val="22"/>
          <w:szCs w:val="22"/>
        </w:rPr>
        <w:t>En el primer Congreso Internacional sobre Inclusión Escolar 2019, en la mesa plenaria del eje “Invenciones para el espacio de lo común”</w:t>
      </w:r>
      <w:r w:rsidRPr="008C1E76">
        <w:rPr>
          <w:rStyle w:val="Refdenotaalpie"/>
          <w:sz w:val="22"/>
          <w:szCs w:val="22"/>
        </w:rPr>
        <w:footnoteReference w:id="2"/>
      </w:r>
      <w:r w:rsidRPr="008C1E76">
        <w:rPr>
          <w:sz w:val="22"/>
          <w:szCs w:val="22"/>
        </w:rPr>
        <w:t xml:space="preserve"> , se concluyó que la escuela tiene, entre sus funciones, garantizar el campo de lo común. Este no viene dado porque es precisamente producto de una operación contingente; es decir, es una función de la escuela producir lo común cada vez. Y, para ello, se requiere de una invención constante que se puede verificar por sus efectos. Por otro lado, se trabajaron las paradojas de la inclusión como un concepto nacido de un </w:t>
      </w:r>
      <w:r w:rsidRPr="008C1E76">
        <w:rPr>
          <w:sz w:val="22"/>
          <w:szCs w:val="22"/>
        </w:rPr>
        <w:lastRenderedPageBreak/>
        <w:t>“pecado original”, una marca de origen tendiente a remediar los efectos de exclusión históricos del sistema escolar que puso el acento en los atributos de aquellos sectores de la población que han sido excluidos. En este II Congreso, proponemos pensar los modos de construir y sostener el espacio de lo común como una vía posible para intentar romper las lógicas dicotómicas inclusión-exclusión, adentro-afuera, individual-colectivo. Compartimos un interrogante que</w:t>
      </w:r>
      <w:r>
        <w:rPr>
          <w:sz w:val="22"/>
          <w:szCs w:val="22"/>
        </w:rPr>
        <w:t xml:space="preserve"> </w:t>
      </w:r>
      <w:r w:rsidRPr="008C1E76">
        <w:t xml:space="preserve">orienta hacia la búsqueda de otras lógicas </w:t>
      </w:r>
      <w:proofErr w:type="spellStart"/>
      <w:r w:rsidRPr="008C1E76">
        <w:t>destotalizadoras</w:t>
      </w:r>
      <w:proofErr w:type="spellEnd"/>
      <w:r w:rsidRPr="008C1E76">
        <w:t xml:space="preserve">: ¿es posible formar colectivos en los que cada uno pueda entrar y permanecer a su modo? Recurrimos a Roberto Esposito, filósofo italiano referente en este tema, quien se pregunta: "… ¿qué cosa tienen en común los miembros de la comunidad? </w:t>
      </w:r>
      <w:proofErr w:type="gramStart"/>
      <w:r w:rsidRPr="008C1E76">
        <w:t>¿</w:t>
      </w:r>
      <w:proofErr w:type="gramEnd"/>
      <w:r w:rsidRPr="008C1E76">
        <w:t xml:space="preserve">Es </w:t>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noProof/>
          <w:lang w:val="es-AR" w:eastAsia="es-AR"/>
        </w:rPr>
        <w:drawing>
          <wp:inline distT="0" distB="0" distL="0" distR="0">
            <wp:extent cx="1628775" cy="571500"/>
            <wp:effectExtent l="19050" t="0" r="9525" b="0"/>
            <wp:docPr id="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0"/>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Style w:val="NormalWeb"/>
        <w:pBdr>
          <w:left w:val="threeDEmboss" w:sz="24" w:space="1" w:color="2F5496"/>
          <w:bottom w:val="threeDEmboss" w:sz="24" w:space="1" w:color="2F5496"/>
        </w:pBdr>
        <w:spacing w:line="360" w:lineRule="auto"/>
        <w:jc w:val="both"/>
      </w:pPr>
      <w:proofErr w:type="gramStart"/>
      <w:r w:rsidRPr="008C1E76">
        <w:t>verdaderamente</w:t>
      </w:r>
      <w:proofErr w:type="gramEnd"/>
      <w:r w:rsidRPr="008C1E76">
        <w:t xml:space="preserve"> una cosa positiva? ¿Un bien, una sustancia, un interés? Los diccionarios nos informan que (...) </w:t>
      </w:r>
      <w:proofErr w:type="spellStart"/>
      <w:r w:rsidRPr="008C1E76">
        <w:t>communitas</w:t>
      </w:r>
      <w:proofErr w:type="spellEnd"/>
      <w:r w:rsidRPr="008C1E76">
        <w:t xml:space="preserve"> es el conjunto de personas a las que las une, no una propiedad, sino (...) un deber o una deuda. Conjunto de personas, unidas no por un ‘más’ sino por un ‘menos’, una falta, un límite…”</w:t>
      </w:r>
      <w:r w:rsidRPr="008C1E76">
        <w:rPr>
          <w:rStyle w:val="Refdenotaalpie"/>
        </w:rPr>
        <w:footnoteReference w:id="3"/>
      </w:r>
      <w:r w:rsidRPr="008C1E76">
        <w:t xml:space="preserve"> Esta cita nos pone sobre la pista de pensar lo común agujereando estructuras totalitarias. Un para todos que implica, también, un no siempre, no para todos lo mismo ni de la misma manera</w:t>
      </w:r>
      <w:r w:rsidRPr="008C1E76">
        <w:rPr>
          <w:rStyle w:val="Refdenotaalpie"/>
        </w:rPr>
        <w:footnoteReference w:id="4"/>
      </w:r>
      <w:r w:rsidRPr="008C1E76">
        <w:t>. Con estas orientaciones y preguntas, convocamos a compartir experiencias para seguir pensando y formalizando. ¿Bajo qué lógicas y con qué maniobras hacer primar lo común para que cada uno/a se lo pueda apropiar a su modo?</w:t>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b/>
          <w:bCs/>
        </w:rPr>
        <w:t>Líneas de trabajo propuestas:</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Condiciones para habitar las aulas.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La inclusión en la escena colectiva.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Agrupamientos inclusivos.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Tensión entre lo colectivo y lo singular.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Torsiones entre lo propio y lo común. </w:t>
      </w: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r w:rsidRPr="008C1E76">
        <w:rPr>
          <w:rFonts w:ascii="Times New Roman" w:eastAsia="Times New Roman" w:hAnsi="Times New Roman"/>
          <w:noProof/>
          <w:sz w:val="24"/>
          <w:szCs w:val="24"/>
          <w:lang w:eastAsia="es-AR"/>
        </w:rPr>
        <w:drawing>
          <wp:inline distT="0" distB="0" distL="0" distR="0">
            <wp:extent cx="1628775" cy="571500"/>
            <wp:effectExtent l="19050" t="0" r="9525" b="0"/>
            <wp:docPr id="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0"/>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Bdr>
          <w:left w:val="threeDEmboss" w:sz="24" w:space="1" w:color="2F5496"/>
          <w:bottom w:val="threeDEmboss" w:sz="24" w:space="1" w:color="2F5496"/>
        </w:pBdr>
        <w:spacing w:line="360" w:lineRule="auto"/>
        <w:rPr>
          <w:szCs w:val="24"/>
          <w:u w:val="single"/>
          <w:lang w:eastAsia="es-AR"/>
        </w:rPr>
      </w:pPr>
      <w:r w:rsidRPr="008C1E76">
        <w:rPr>
          <w:szCs w:val="24"/>
          <w:u w:val="single"/>
          <w:lang w:eastAsia="es-AR"/>
        </w:rPr>
        <w:t>Eje 3: La dimensión pedagógica de la inclusión</w:t>
      </w:r>
    </w:p>
    <w:p w:rsidR="002C4057" w:rsidRPr="008C1E76" w:rsidRDefault="002C4057" w:rsidP="002C4057">
      <w:pPr>
        <w:pStyle w:val="NormalWeb"/>
        <w:pBdr>
          <w:left w:val="threeDEmboss" w:sz="24" w:space="1" w:color="2F5496"/>
          <w:bottom w:val="threeDEmboss" w:sz="24" w:space="1" w:color="2F5496"/>
        </w:pBdr>
        <w:spacing w:line="360" w:lineRule="auto"/>
        <w:jc w:val="right"/>
        <w:rPr>
          <w:sz w:val="16"/>
          <w:szCs w:val="16"/>
        </w:rPr>
      </w:pPr>
      <w:r w:rsidRPr="008C1E76">
        <w:rPr>
          <w:sz w:val="16"/>
          <w:szCs w:val="16"/>
        </w:rPr>
        <w:t xml:space="preserve">“La gente no entiende lo hambrientos de conocimientos que estamos realmente.” </w:t>
      </w:r>
    </w:p>
    <w:p w:rsidR="002C4057" w:rsidRPr="008C1E76" w:rsidRDefault="002C4057" w:rsidP="002C4057">
      <w:pPr>
        <w:pStyle w:val="NormalWeb"/>
        <w:pBdr>
          <w:left w:val="threeDEmboss" w:sz="24" w:space="1" w:color="2F5496"/>
          <w:bottom w:val="threeDEmboss" w:sz="24" w:space="1" w:color="2F5496"/>
        </w:pBdr>
        <w:spacing w:line="360" w:lineRule="auto"/>
        <w:jc w:val="right"/>
        <w:rPr>
          <w:sz w:val="16"/>
          <w:szCs w:val="16"/>
        </w:rPr>
      </w:pPr>
      <w:proofErr w:type="spellStart"/>
      <w:r w:rsidRPr="008C1E76">
        <w:rPr>
          <w:sz w:val="16"/>
          <w:szCs w:val="16"/>
        </w:rPr>
        <w:t>Naoki</w:t>
      </w:r>
      <w:proofErr w:type="spellEnd"/>
      <w:r>
        <w:rPr>
          <w:sz w:val="16"/>
          <w:szCs w:val="16"/>
        </w:rPr>
        <w:t xml:space="preserve"> </w:t>
      </w:r>
      <w:proofErr w:type="spellStart"/>
      <w:r w:rsidRPr="008C1E76">
        <w:rPr>
          <w:sz w:val="16"/>
          <w:szCs w:val="16"/>
        </w:rPr>
        <w:t>Higashida</w:t>
      </w:r>
      <w:proofErr w:type="spellEnd"/>
      <w:r w:rsidRPr="008C1E76">
        <w:rPr>
          <w:sz w:val="16"/>
          <w:szCs w:val="16"/>
        </w:rPr>
        <w:t xml:space="preserve"> en La razón por la que salto </w:t>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t xml:space="preserve">Los nuevos modos de presentación de los niños y niñas que recibimos en las escuelas nos interpelan en nuestro quehacer docente. Las normativas sobre inclusión muestran el intento de circunscribir y ordenar la problemática. Sin embargo, suelen producir un corrimiento de la perspectiva que pretendemos darle a la inclusión en este eje en tanto se generó un deslizamiento hacia el campo de la salud mental. En los ámbitos escolares, escuchamos cada vez con más frecuencia: “No estudié para esto”, “Primero hay que trabajar lo emocional para que luego aprenda”, “Lo pasamos de grado por lo social y para que siga con sus compañeros/as”. Estos supuestos, además de dicotómicos, se vuelven una trampa: los aprendizajes se relegan a un segundo momento, se delegan a otros que, supuestamente, sabrían sobre estos/as niños/as o se arrinconan en un proyecto individualizado. En la medida en que entendemos que la inclusión escolar se juega en el terreno de los aprendizajes y, por lo tanto, es de incumbencia docente, nos quedan planteadas algunas preguntas: ¿qué significa que un/a niño/a esté incluido/a? ¿Cómo enseñarles a aquellos/as niños/as que nos resultan incomprensibles? ¿Qué hacer con los/as que no consienten en entrar en el lazo de los aprendizajes propuestos para todos/as? ¿Cómo hacerlos/las parte de la escena colectiva? El desafío de enseñarles es enorme pero, si confiamos en lo que nos dice </w:t>
      </w:r>
      <w:proofErr w:type="spellStart"/>
      <w:r w:rsidRPr="008C1E76">
        <w:t>Naoki</w:t>
      </w:r>
      <w:proofErr w:type="spellEnd"/>
      <w:r>
        <w:t xml:space="preserve"> </w:t>
      </w:r>
      <w:proofErr w:type="spellStart"/>
      <w:r w:rsidRPr="008C1E76">
        <w:t>Higashida</w:t>
      </w:r>
      <w:proofErr w:type="spellEnd"/>
      <w:r w:rsidRPr="008C1E76">
        <w:t xml:space="preserve">, bien vale el esfuerzo. Seguramente sus trabajos constituirán un aporte a la elaboración colectiva. </w:t>
      </w:r>
    </w:p>
    <w:p w:rsidR="002C4057" w:rsidRPr="008C1E76" w:rsidRDefault="002C4057" w:rsidP="002C4057">
      <w:pPr>
        <w:pStyle w:val="NormalWeb"/>
        <w:pBdr>
          <w:left w:val="threeDEmboss" w:sz="24" w:space="1" w:color="2F5496"/>
          <w:bottom w:val="threeDEmboss" w:sz="24" w:space="1" w:color="2F5496"/>
        </w:pBdr>
        <w:spacing w:line="360" w:lineRule="auto"/>
        <w:jc w:val="both"/>
      </w:pPr>
    </w:p>
    <w:p w:rsidR="002C4057" w:rsidRPr="008C1E76" w:rsidRDefault="002C4057" w:rsidP="002C4057">
      <w:pPr>
        <w:pStyle w:val="NormalWeb"/>
        <w:pBdr>
          <w:left w:val="threeDEmboss" w:sz="24" w:space="1" w:color="2F5496"/>
          <w:bottom w:val="threeDEmboss" w:sz="24" w:space="1" w:color="2F5496"/>
        </w:pBdr>
        <w:spacing w:line="360" w:lineRule="auto"/>
        <w:jc w:val="both"/>
      </w:pPr>
    </w:p>
    <w:p w:rsidR="002C4057" w:rsidRPr="008C1E76" w:rsidRDefault="002C4057" w:rsidP="002C4057">
      <w:pPr>
        <w:pStyle w:val="NormalWeb"/>
        <w:pBdr>
          <w:left w:val="threeDEmboss" w:sz="24" w:space="1" w:color="2F5496"/>
          <w:bottom w:val="threeDEmboss" w:sz="24" w:space="1" w:color="2F5496"/>
        </w:pBdr>
        <w:spacing w:line="360" w:lineRule="auto"/>
        <w:jc w:val="both"/>
      </w:pP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noProof/>
          <w:lang w:val="es-AR" w:eastAsia="es-AR"/>
        </w:rPr>
        <w:drawing>
          <wp:inline distT="0" distB="0" distL="0" distR="0">
            <wp:extent cx="1628775" cy="571500"/>
            <wp:effectExtent l="19050" t="0" r="9525" b="0"/>
            <wp:docPr id="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0"/>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b/>
          <w:bCs/>
        </w:rPr>
        <w:lastRenderedPageBreak/>
        <w:t>Líneas de trabajo propuestas:</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La inclusión como tarea de incumbencia docente.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Estilos institucionales que propician la inclusión en la escena de enseñanza colectiva.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La función de la escena pedagógica y sus efectos en tanto inclusión en los aprendizajes.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Estrategias pedagógicas para la configuración de lazos posibles a los aprendizajes. </w:t>
      </w:r>
    </w:p>
    <w:p w:rsidR="002C4057" w:rsidRPr="008C1E76" w:rsidRDefault="002C4057" w:rsidP="002C4057">
      <w:pPr>
        <w:pStyle w:val="Prrafodelista"/>
        <w:pBdr>
          <w:left w:val="threeDEmboss" w:sz="24" w:space="1" w:color="2F5496"/>
          <w:bottom w:val="threeDEmboss" w:sz="24" w:space="1" w:color="2F5496"/>
        </w:pBdr>
        <w:spacing w:line="360" w:lineRule="auto"/>
        <w:ind w:left="0"/>
        <w:jc w:val="both"/>
        <w:rPr>
          <w:rFonts w:ascii="Times New Roman" w:eastAsia="Times New Roman" w:hAnsi="Times New Roman"/>
          <w:sz w:val="24"/>
          <w:szCs w:val="24"/>
          <w:lang w:eastAsia="es-AR"/>
        </w:rPr>
      </w:pPr>
    </w:p>
    <w:p w:rsidR="002C4057" w:rsidRPr="008C1E76" w:rsidRDefault="002C4057" w:rsidP="002C4057">
      <w:pPr>
        <w:pBdr>
          <w:left w:val="threeDEmboss" w:sz="24" w:space="1" w:color="2F5496"/>
          <w:bottom w:val="threeDEmboss" w:sz="24" w:space="1" w:color="2F5496"/>
        </w:pBdr>
        <w:spacing w:line="360" w:lineRule="auto"/>
        <w:rPr>
          <w:szCs w:val="24"/>
          <w:u w:val="single"/>
          <w:lang w:eastAsia="es-AR"/>
        </w:rPr>
      </w:pPr>
      <w:r w:rsidRPr="008C1E76">
        <w:rPr>
          <w:szCs w:val="24"/>
          <w:u w:val="single"/>
          <w:lang w:eastAsia="es-AR"/>
        </w:rPr>
        <w:t>Eje 4: Dimensión ética de la educación</w:t>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t xml:space="preserve">El recorte metodológico que propone este eje es el abordaje de la operación de inclusión desde la perspectiva del consentimiento de la o del estudiante en la escena escolar. Entendemos por “consentimiento subjetivo” ese acto de aceptación para ocupar una posición en la trama discursiva propuesta, una elección implicada de cada sujeto a decir “sí” al lugar ofrecido en esa escena escolar, entendiendo que también puede decir “no” como decisión radical o bien como respuesta a ciertas condiciones de la propuesta escolar. Un “sí” o un “no” para dejarse enseñar, para formar parte del colectivo escolar que, necesariamente, será reconocido como punto de partida para cualquier proceso de inclusión. “La torsión a realizarse es la que va del niño presentado al niño que se presenta, aun cuando quien se presenta puede hacerlo en voz baja, aun cuando ese signo puede reducirse a obtener solo un instante de atención”. (Bernard </w:t>
      </w:r>
      <w:proofErr w:type="spellStart"/>
      <w:r w:rsidRPr="008C1E76">
        <w:t>Seynhaeve</w:t>
      </w:r>
      <w:proofErr w:type="spellEnd"/>
      <w:r w:rsidRPr="008C1E76">
        <w:t>)</w:t>
      </w:r>
      <w:r w:rsidRPr="008C1E76">
        <w:rPr>
          <w:rStyle w:val="Refdenotaalpie"/>
        </w:rPr>
        <w:footnoteReference w:id="5"/>
      </w:r>
      <w:r w:rsidRPr="008C1E76">
        <w:t xml:space="preserve">1 La inclusión entendida y </w:t>
      </w:r>
    </w:p>
    <w:p w:rsidR="002C4057" w:rsidRPr="008C1E76" w:rsidRDefault="002C4057" w:rsidP="002C4057">
      <w:pPr>
        <w:pStyle w:val="NormalWeb"/>
        <w:pBdr>
          <w:left w:val="threeDEmboss" w:sz="24" w:space="1" w:color="2F5496"/>
          <w:bottom w:val="threeDEmboss" w:sz="24" w:space="1" w:color="2F5496"/>
        </w:pBdr>
        <w:spacing w:line="360" w:lineRule="auto"/>
        <w:jc w:val="both"/>
      </w:pP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noProof/>
          <w:lang w:val="es-AR" w:eastAsia="es-AR"/>
        </w:rPr>
        <w:drawing>
          <wp:inline distT="0" distB="0" distL="0" distR="0">
            <wp:extent cx="1628775" cy="571500"/>
            <wp:effectExtent l="19050" t="0" r="9525" b="0"/>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srcRect/>
                    <a:stretch>
                      <a:fillRect/>
                    </a:stretch>
                  </pic:blipFill>
                  <pic:spPr bwMode="auto">
                    <a:xfrm>
                      <a:off x="0" y="0"/>
                      <a:ext cx="1628775" cy="571500"/>
                    </a:xfrm>
                    <a:prstGeom prst="rect">
                      <a:avLst/>
                    </a:prstGeom>
                    <a:noFill/>
                    <a:ln w="9525">
                      <a:noFill/>
                      <a:miter lim="800000"/>
                      <a:headEnd/>
                      <a:tailEnd/>
                    </a:ln>
                  </pic:spPr>
                </pic:pic>
              </a:graphicData>
            </a:graphic>
          </wp:inline>
        </w:drawing>
      </w:r>
    </w:p>
    <w:p w:rsidR="002C4057" w:rsidRPr="008C1E76" w:rsidRDefault="002C4057" w:rsidP="002C4057">
      <w:pPr>
        <w:pStyle w:val="NormalWeb"/>
        <w:pBdr>
          <w:left w:val="threeDEmboss" w:sz="24" w:space="1" w:color="2F5496"/>
          <w:bottom w:val="threeDEmboss" w:sz="24" w:space="1" w:color="2F5496"/>
        </w:pBdr>
        <w:spacing w:line="360" w:lineRule="auto"/>
        <w:jc w:val="both"/>
      </w:pPr>
      <w:proofErr w:type="gramStart"/>
      <w:r w:rsidRPr="008C1E76">
        <w:t>sostenida</w:t>
      </w:r>
      <w:proofErr w:type="gramEnd"/>
      <w:r w:rsidRPr="008C1E76">
        <w:t xml:space="preserve"> desde esta orientación requiere de cierta disponibilidad y una posición respetuosa de parte de los adultos, así como de las condiciones</w:t>
      </w:r>
      <w:r>
        <w:t xml:space="preserve"> </w:t>
      </w:r>
      <w:r w:rsidRPr="008C1E76">
        <w:t>institucionales necesarias. ¿Cuáles? Será oportuno verificarlas por sus efectos. Por eso, los invitamos a presentar sus trabajos para dar cuenta de los efectos inclusivos.</w:t>
      </w:r>
    </w:p>
    <w:p w:rsidR="002C4057" w:rsidRPr="008C1E76" w:rsidRDefault="002C4057" w:rsidP="002C4057">
      <w:pPr>
        <w:pStyle w:val="NormalWeb"/>
        <w:pBdr>
          <w:left w:val="threeDEmboss" w:sz="24" w:space="1" w:color="2F5496"/>
          <w:bottom w:val="threeDEmboss" w:sz="24" w:space="1" w:color="2F5496"/>
        </w:pBdr>
        <w:spacing w:line="360" w:lineRule="auto"/>
        <w:jc w:val="both"/>
      </w:pPr>
      <w:r w:rsidRPr="008C1E76">
        <w:rPr>
          <w:b/>
          <w:bCs/>
        </w:rPr>
        <w:t>Líneas de trabajo propuestas:</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lastRenderedPageBreak/>
        <w:t xml:space="preserve">Movimientos dialécticos en las condiciones institucionales para el proceso de inclusión.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Convocatorias que propicien el consentimiento subjetivo y sus efectos de inclusión en la escena escolar. </w:t>
      </w:r>
    </w:p>
    <w:p w:rsidR="002C4057" w:rsidRPr="008C1E76" w:rsidRDefault="002C4057" w:rsidP="002C4057">
      <w:pPr>
        <w:pStyle w:val="Prrafodelista"/>
        <w:numPr>
          <w:ilvl w:val="0"/>
          <w:numId w:val="1"/>
        </w:numPr>
        <w:pBdr>
          <w:left w:val="threeDEmboss" w:sz="24" w:space="1" w:color="2F5496"/>
          <w:bottom w:val="threeDEmboss" w:sz="24" w:space="1" w:color="2F5496"/>
        </w:pBdr>
        <w:spacing w:line="360" w:lineRule="auto"/>
        <w:jc w:val="both"/>
        <w:rPr>
          <w:rFonts w:ascii="Times New Roman" w:eastAsia="Times New Roman" w:hAnsi="Times New Roman"/>
          <w:sz w:val="24"/>
          <w:szCs w:val="24"/>
          <w:lang w:eastAsia="es-AR"/>
        </w:rPr>
      </w:pPr>
      <w:r w:rsidRPr="008C1E76">
        <w:rPr>
          <w:rFonts w:ascii="Times New Roman" w:eastAsia="Times New Roman" w:hAnsi="Times New Roman"/>
          <w:sz w:val="24"/>
          <w:szCs w:val="24"/>
          <w:lang w:eastAsia="es-AR"/>
        </w:rPr>
        <w:t xml:space="preserve">Signos de consentimiento subjetivo. </w:t>
      </w:r>
    </w:p>
    <w:p w:rsidR="002C4057" w:rsidRPr="008C1E76" w:rsidRDefault="002C4057" w:rsidP="002C4057">
      <w:pPr>
        <w:pStyle w:val="Prrafodelista"/>
        <w:numPr>
          <w:ilvl w:val="0"/>
          <w:numId w:val="1"/>
        </w:numPr>
        <w:pBdr>
          <w:left w:val="threeDEmboss" w:sz="24" w:space="1" w:color="2F5496"/>
          <w:bottom w:val="threeDEmboss" w:sz="24" w:space="1" w:color="2F5496"/>
        </w:pBdr>
        <w:shd w:val="clear" w:color="auto" w:fill="FFFFFF"/>
        <w:spacing w:line="360" w:lineRule="auto"/>
        <w:jc w:val="both"/>
        <w:rPr>
          <w:rFonts w:ascii="Times New Roman" w:hAnsi="Times New Roman"/>
          <w:szCs w:val="24"/>
          <w:lang w:eastAsia="es-AR"/>
        </w:rPr>
      </w:pPr>
      <w:r w:rsidRPr="008C1E76">
        <w:rPr>
          <w:rFonts w:ascii="Times New Roman" w:eastAsia="Times New Roman" w:hAnsi="Times New Roman"/>
          <w:sz w:val="24"/>
          <w:szCs w:val="24"/>
          <w:lang w:eastAsia="es-AR"/>
        </w:rPr>
        <w:t xml:space="preserve">Abordajes que habiliten la presentación de los modos subjetivos en la trama de la escena. </w:t>
      </w:r>
      <w:bookmarkEnd w:id="0"/>
    </w:p>
    <w:p w:rsidR="002C4057" w:rsidRPr="008C1E76" w:rsidRDefault="002C4057" w:rsidP="002C4057">
      <w:pPr>
        <w:pBdr>
          <w:left w:val="threeDEmboss" w:sz="24" w:space="1" w:color="2F5496"/>
          <w:bottom w:val="threeDEmboss" w:sz="24" w:space="1" w:color="2F5496"/>
        </w:pBdr>
        <w:shd w:val="clear" w:color="auto" w:fill="FFFFFF"/>
        <w:spacing w:line="360" w:lineRule="auto"/>
        <w:rPr>
          <w:szCs w:val="24"/>
          <w:lang w:val="es-AR" w:eastAsia="es-AR"/>
        </w:rPr>
      </w:pPr>
    </w:p>
    <w:p w:rsidR="002C4057" w:rsidRPr="00E5658D" w:rsidRDefault="002C4057" w:rsidP="002C4057"/>
    <w:p w:rsidR="005E3C49" w:rsidRPr="00E5658D" w:rsidRDefault="005E3C49" w:rsidP="00E5658D"/>
    <w:sectPr w:rsidR="005E3C49" w:rsidRPr="00E5658D" w:rsidSect="005E3C49">
      <w:headerReference w:type="even" r:id="rId13"/>
      <w:headerReference w:type="default" r:id="rId14"/>
      <w:footerReference w:type="even" r:id="rId15"/>
      <w:footerReference w:type="default" r:id="rId16"/>
      <w:headerReference w:type="first" r:id="rId17"/>
      <w:footerReference w:type="first" r:id="rId18"/>
      <w:pgSz w:w="12242" w:h="20163" w:code="5"/>
      <w:pgMar w:top="2977" w:right="851" w:bottom="1418" w:left="283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C0" w:rsidRDefault="00413BC0">
      <w:r>
        <w:separator/>
      </w:r>
    </w:p>
  </w:endnote>
  <w:endnote w:type="continuationSeparator" w:id="0">
    <w:p w:rsidR="00413BC0" w:rsidRDefault="004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E72" w:rsidRDefault="00390E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75" w:rsidRPr="001C19C4" w:rsidRDefault="00601A75">
    <w:pPr>
      <w:pStyle w:val="Piedepgina"/>
      <w:rPr>
        <w:color w:val="333333"/>
        <w:sz w:val="20"/>
      </w:rPr>
    </w:pPr>
    <w:bookmarkStart w:id="1" w:name="Proyecto"/>
    <w:bookmarkEnd w:id="1"/>
  </w:p>
  <w:p w:rsidR="00601A75" w:rsidRPr="001C19C4" w:rsidRDefault="00601A75">
    <w:pPr>
      <w:pStyle w:val="Piedepgina"/>
      <w:rPr>
        <w:color w:val="333333"/>
        <w:sz w:val="20"/>
      </w:rPr>
    </w:pPr>
    <w:bookmarkStart w:id="2" w:name="_GoBack"/>
    <w:r w:rsidRPr="001C19C4">
      <w:rPr>
        <w:color w:val="333333"/>
        <w:sz w:val="20"/>
      </w:rPr>
      <w:t xml:space="preserve">Último cambio: </w:t>
    </w:r>
    <w:r w:rsidR="00413BC0">
      <w:fldChar w:fldCharType="begin"/>
    </w:r>
    <w:r w:rsidR="00413BC0">
      <w:instrText xml:space="preserve"> SAVEDATE  \* MERGEFORMAT </w:instrText>
    </w:r>
    <w:r w:rsidR="00413BC0">
      <w:fldChar w:fldCharType="separate"/>
    </w:r>
    <w:r w:rsidR="00390E72" w:rsidRPr="00390E72">
      <w:rPr>
        <w:noProof/>
        <w:color w:val="333333"/>
        <w:sz w:val="20"/>
      </w:rPr>
      <w:t>01/09/2022 16:30:00</w:t>
    </w:r>
    <w:r w:rsidR="00413BC0">
      <w:rPr>
        <w:noProof/>
        <w:color w:val="333333"/>
        <w:sz w:val="20"/>
      </w:rPr>
      <w:fldChar w:fldCharType="end"/>
    </w:r>
    <w:r w:rsidRPr="001C19C4">
      <w:rPr>
        <w:color w:val="333333"/>
        <w:sz w:val="20"/>
      </w:rPr>
      <w:t xml:space="preserve">  -  Cantidad de caracteres: </w:t>
    </w:r>
    <w:r w:rsidR="00413BC0">
      <w:fldChar w:fldCharType="begin"/>
    </w:r>
    <w:r w:rsidR="00413BC0">
      <w:instrText xml:space="preserve"> NUMCHARS  \* MERGEFORMAT </w:instrText>
    </w:r>
    <w:r w:rsidR="00413BC0">
      <w:fldChar w:fldCharType="separate"/>
    </w:r>
    <w:r w:rsidR="00390E72" w:rsidRPr="00390E72">
      <w:rPr>
        <w:noProof/>
        <w:color w:val="333333"/>
        <w:sz w:val="20"/>
      </w:rPr>
      <w:t>14088</w:t>
    </w:r>
    <w:r w:rsidR="00413BC0">
      <w:rPr>
        <w:noProof/>
        <w:color w:val="333333"/>
        <w:sz w:val="20"/>
      </w:rPr>
      <w:fldChar w:fldCharType="end"/>
    </w:r>
    <w:r w:rsidRPr="001C19C4">
      <w:rPr>
        <w:color w:val="333333"/>
        <w:sz w:val="20"/>
      </w:rPr>
      <w:t xml:space="preserve"> - Cantidad de palabras: </w:t>
    </w:r>
    <w:r w:rsidR="00413BC0">
      <w:fldChar w:fldCharType="begin"/>
    </w:r>
    <w:r w:rsidR="00413BC0">
      <w:instrText xml:space="preserve"> NUMWORDS  \* MERGEFORMAT </w:instrText>
    </w:r>
    <w:r w:rsidR="00413BC0">
      <w:fldChar w:fldCharType="separate"/>
    </w:r>
    <w:r w:rsidR="00390E72" w:rsidRPr="00390E72">
      <w:rPr>
        <w:noProof/>
        <w:color w:val="333333"/>
        <w:sz w:val="20"/>
      </w:rPr>
      <w:t>2490</w:t>
    </w:r>
    <w:r w:rsidR="00413BC0">
      <w:rPr>
        <w:noProof/>
        <w:color w:val="333333"/>
        <w:sz w:val="20"/>
      </w:rPr>
      <w:fldChar w:fldCharType="end"/>
    </w:r>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41E36" w:rsidRPr="001C19C4">
      <w:rPr>
        <w:rStyle w:val="Nmerodepgina"/>
        <w:color w:val="333333"/>
      </w:rPr>
      <w:fldChar w:fldCharType="begin"/>
    </w:r>
    <w:r w:rsidRPr="001C19C4">
      <w:rPr>
        <w:rStyle w:val="Nmerodepgina"/>
        <w:color w:val="333333"/>
      </w:rPr>
      <w:instrText xml:space="preserve"> PAGE </w:instrText>
    </w:r>
    <w:r w:rsidR="00441E36" w:rsidRPr="001C19C4">
      <w:rPr>
        <w:rStyle w:val="Nmerodepgina"/>
        <w:color w:val="333333"/>
      </w:rPr>
      <w:fldChar w:fldCharType="separate"/>
    </w:r>
    <w:r w:rsidR="00390E72">
      <w:rPr>
        <w:rStyle w:val="Nmerodepgina"/>
        <w:noProof/>
        <w:color w:val="333333"/>
      </w:rPr>
      <w:t>1</w:t>
    </w:r>
    <w:r w:rsidR="00441E36" w:rsidRPr="001C19C4">
      <w:rPr>
        <w:rStyle w:val="Nmerodepgina"/>
        <w:color w:val="333333"/>
      </w:rPr>
      <w:fldChar w:fldCharType="end"/>
    </w:r>
    <w:r w:rsidRPr="001C19C4">
      <w:rPr>
        <w:rStyle w:val="Nmerodepgina"/>
        <w:color w:val="333333"/>
      </w:rPr>
      <w:t>/</w:t>
    </w:r>
    <w:r w:rsidR="00413BC0">
      <w:fldChar w:fldCharType="begin"/>
    </w:r>
    <w:r w:rsidR="00413BC0">
      <w:instrText xml:space="preserve"> NUMPAGES  \* MERGEFORMAT </w:instrText>
    </w:r>
    <w:r w:rsidR="00413BC0">
      <w:fldChar w:fldCharType="separate"/>
    </w:r>
    <w:r w:rsidR="00390E72" w:rsidRPr="00390E72">
      <w:rPr>
        <w:rStyle w:val="Nmerodepgina"/>
        <w:noProof/>
        <w:color w:val="333333"/>
      </w:rPr>
      <w:t>10</w:t>
    </w:r>
    <w:r w:rsidR="00413BC0">
      <w:rPr>
        <w:rStyle w:val="Nmerodepgina"/>
        <w:noProof/>
        <w:color w:val="333333"/>
      </w:rPr>
      <w:fldChar w:fldCharType="end"/>
    </w:r>
    <w:r w:rsidRPr="001C19C4">
      <w:rPr>
        <w:rStyle w:val="Nmerodepgina"/>
        <w:color w:val="333333"/>
      </w:rPr>
      <w:t xml:space="preserve"> </w:t>
    </w:r>
  </w:p>
  <w:bookmarkEnd w:id="2"/>
  <w:p w:rsidR="00601A75" w:rsidRPr="001C19C4" w:rsidRDefault="00601A75">
    <w:pPr>
      <w:pStyle w:val="Piedepgina"/>
      <w:rPr>
        <w:color w:val="333333"/>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E72" w:rsidRDefault="00390E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C0" w:rsidRDefault="00413BC0">
      <w:r>
        <w:separator/>
      </w:r>
    </w:p>
  </w:footnote>
  <w:footnote w:type="continuationSeparator" w:id="0">
    <w:p w:rsidR="00413BC0" w:rsidRDefault="00413BC0">
      <w:r>
        <w:continuationSeparator/>
      </w:r>
    </w:p>
  </w:footnote>
  <w:footnote w:id="1">
    <w:p w:rsidR="002C4057" w:rsidRPr="00EA5CE9" w:rsidRDefault="002C4057" w:rsidP="002C4057">
      <w:pPr>
        <w:spacing w:before="100" w:beforeAutospacing="1" w:after="100" w:afterAutospacing="1" w:line="360" w:lineRule="auto"/>
        <w:jc w:val="left"/>
        <w:rPr>
          <w:rFonts w:ascii="Arial" w:hAnsi="Arial" w:cs="Arial"/>
          <w:szCs w:val="24"/>
          <w:lang w:eastAsia="es-AR"/>
        </w:rPr>
      </w:pPr>
      <w:r>
        <w:rPr>
          <w:rStyle w:val="Refdenotaalpie"/>
        </w:rPr>
        <w:footnoteRef/>
      </w:r>
      <w:proofErr w:type="spellStart"/>
      <w:r w:rsidRPr="00D94D26">
        <w:rPr>
          <w:rFonts w:ascii="Arial" w:hAnsi="Arial" w:cs="Arial"/>
          <w:sz w:val="16"/>
          <w:szCs w:val="16"/>
          <w:lang w:eastAsia="es-AR"/>
        </w:rPr>
        <w:t>Deleuze</w:t>
      </w:r>
      <w:proofErr w:type="spellEnd"/>
      <w:r w:rsidRPr="00D94D26">
        <w:rPr>
          <w:rFonts w:ascii="Arial" w:hAnsi="Arial" w:cs="Arial"/>
          <w:sz w:val="16"/>
          <w:szCs w:val="16"/>
          <w:lang w:eastAsia="es-AR"/>
        </w:rPr>
        <w:t>, G. (1990). Posdata sobre las sociedades de control.</w:t>
      </w:r>
      <w:r>
        <w:rPr>
          <w:rFonts w:ascii="Arial" w:hAnsi="Arial" w:cs="Arial"/>
          <w:sz w:val="16"/>
          <w:szCs w:val="16"/>
          <w:lang w:eastAsia="es-AR"/>
        </w:rPr>
        <w:t xml:space="preserve"> </w:t>
      </w:r>
      <w:r w:rsidRPr="00D94D26">
        <w:rPr>
          <w:rFonts w:ascii="Arial" w:hAnsi="Arial" w:cs="Arial"/>
          <w:sz w:val="16"/>
          <w:szCs w:val="16"/>
          <w:lang w:eastAsia="es-AR"/>
        </w:rPr>
        <w:t xml:space="preserve">Consultado en </w:t>
      </w:r>
      <w:hyperlink r:id="rId1" w:tgtFrame="_blank" w:history="1">
        <w:r w:rsidRPr="00D94D26">
          <w:rPr>
            <w:rFonts w:ascii="Arial" w:hAnsi="Arial" w:cs="Arial"/>
            <w:sz w:val="16"/>
            <w:szCs w:val="16"/>
            <w:lang w:eastAsia="es-AR"/>
          </w:rPr>
          <w:t>http://theomai.unq.edu.ar/Conflictos_sociales/Deleuze_Postdata_sociedad_control.pdf</w:t>
        </w:r>
      </w:hyperlink>
    </w:p>
    <w:p w:rsidR="002C4057" w:rsidRPr="00D94D26" w:rsidRDefault="002C4057" w:rsidP="002C4057">
      <w:pPr>
        <w:pStyle w:val="Textonotapie"/>
        <w:rPr>
          <w:lang w:val="es-ES"/>
        </w:rPr>
      </w:pPr>
    </w:p>
  </w:footnote>
  <w:footnote w:id="2">
    <w:p w:rsidR="002C4057" w:rsidRPr="006330FB" w:rsidRDefault="002C4057" w:rsidP="002C4057">
      <w:pPr>
        <w:pStyle w:val="Textonotapie"/>
        <w:rPr>
          <w:sz w:val="16"/>
          <w:szCs w:val="16"/>
          <w:lang w:val="es-ES"/>
        </w:rPr>
      </w:pPr>
      <w:r w:rsidRPr="006330FB">
        <w:rPr>
          <w:rStyle w:val="Refdenotaalpie"/>
          <w:sz w:val="16"/>
          <w:szCs w:val="16"/>
        </w:rPr>
        <w:footnoteRef/>
      </w:r>
      <w:r w:rsidRPr="006330FB">
        <w:rPr>
          <w:rFonts w:ascii="Arial" w:hAnsi="Arial" w:cs="Arial"/>
          <w:sz w:val="16"/>
          <w:szCs w:val="16"/>
        </w:rPr>
        <w:t xml:space="preserve">Mesa denominada “Lo colectivo como desafío de la inclusión” en la que participaron Gerardo Arenas, Gabriela </w:t>
      </w:r>
      <w:proofErr w:type="spellStart"/>
      <w:r w:rsidRPr="006330FB">
        <w:rPr>
          <w:rFonts w:ascii="Arial" w:hAnsi="Arial" w:cs="Arial"/>
          <w:sz w:val="16"/>
          <w:szCs w:val="16"/>
        </w:rPr>
        <w:t>Diker</w:t>
      </w:r>
      <w:proofErr w:type="spellEnd"/>
      <w:r w:rsidRPr="006330FB">
        <w:rPr>
          <w:rFonts w:ascii="Arial" w:hAnsi="Arial" w:cs="Arial"/>
          <w:sz w:val="16"/>
          <w:szCs w:val="16"/>
        </w:rPr>
        <w:t xml:space="preserve"> y Alejandro </w:t>
      </w:r>
      <w:proofErr w:type="spellStart"/>
      <w:r w:rsidRPr="006330FB">
        <w:rPr>
          <w:rFonts w:ascii="Arial" w:hAnsi="Arial" w:cs="Arial"/>
          <w:sz w:val="16"/>
          <w:szCs w:val="16"/>
        </w:rPr>
        <w:t>Vassiliades</w:t>
      </w:r>
      <w:proofErr w:type="spellEnd"/>
      <w:r w:rsidRPr="006330FB">
        <w:rPr>
          <w:rFonts w:ascii="Arial" w:hAnsi="Arial" w:cs="Arial"/>
          <w:sz w:val="16"/>
          <w:szCs w:val="16"/>
        </w:rPr>
        <w:t>.</w:t>
      </w:r>
    </w:p>
  </w:footnote>
  <w:footnote w:id="3">
    <w:p w:rsidR="002C4057" w:rsidRPr="006330FB" w:rsidRDefault="002C4057" w:rsidP="002C4057">
      <w:pPr>
        <w:pStyle w:val="Textonotapie"/>
        <w:rPr>
          <w:sz w:val="16"/>
          <w:szCs w:val="16"/>
          <w:lang w:val="es-ES"/>
        </w:rPr>
      </w:pPr>
      <w:r w:rsidRPr="006330FB">
        <w:rPr>
          <w:rStyle w:val="Refdenotaalpie"/>
          <w:sz w:val="16"/>
          <w:szCs w:val="16"/>
        </w:rPr>
        <w:footnoteRef/>
      </w:r>
      <w:r w:rsidRPr="006330FB">
        <w:rPr>
          <w:sz w:val="16"/>
          <w:szCs w:val="16"/>
        </w:rPr>
        <w:t xml:space="preserve"> Esposito, R. (2003). </w:t>
      </w:r>
      <w:proofErr w:type="spellStart"/>
      <w:r w:rsidRPr="006330FB">
        <w:rPr>
          <w:sz w:val="16"/>
          <w:szCs w:val="16"/>
        </w:rPr>
        <w:t>Communitas</w:t>
      </w:r>
      <w:proofErr w:type="spellEnd"/>
      <w:r w:rsidRPr="006330FB">
        <w:rPr>
          <w:sz w:val="16"/>
          <w:szCs w:val="16"/>
        </w:rPr>
        <w:t xml:space="preserve">. Origen y destino de la comunidad. Buenos Aires, </w:t>
      </w:r>
      <w:proofErr w:type="spellStart"/>
      <w:r w:rsidRPr="006330FB">
        <w:rPr>
          <w:sz w:val="16"/>
          <w:szCs w:val="16"/>
        </w:rPr>
        <w:t>Amorrortu</w:t>
      </w:r>
      <w:proofErr w:type="spellEnd"/>
    </w:p>
  </w:footnote>
  <w:footnote w:id="4">
    <w:p w:rsidR="002C4057" w:rsidRPr="006330FB" w:rsidRDefault="002C4057" w:rsidP="002C4057">
      <w:pPr>
        <w:pStyle w:val="Textonotapie"/>
        <w:rPr>
          <w:sz w:val="16"/>
          <w:szCs w:val="16"/>
          <w:lang w:val="es-ES"/>
        </w:rPr>
      </w:pPr>
      <w:r w:rsidRPr="006330FB">
        <w:rPr>
          <w:rStyle w:val="Refdenotaalpie"/>
          <w:sz w:val="16"/>
          <w:szCs w:val="16"/>
        </w:rPr>
        <w:footnoteRef/>
      </w:r>
      <w:r w:rsidRPr="006330FB">
        <w:rPr>
          <w:sz w:val="16"/>
          <w:szCs w:val="16"/>
        </w:rPr>
        <w:t xml:space="preserve"> Para ampliar sobre este tema referimos el texto “La inclusión como efecto del colectivo” de Fabiana Demarco, incluido en el 1º cuaderno sobre inclusión escolar de la UNTREF Coordenadas de lo posible.</w:t>
      </w:r>
    </w:p>
  </w:footnote>
  <w:footnote w:id="5">
    <w:p w:rsidR="002C4057" w:rsidRPr="004C63E0" w:rsidRDefault="002C4057" w:rsidP="002C4057">
      <w:pPr>
        <w:pStyle w:val="Textonotapie"/>
        <w:rPr>
          <w:lang w:val="es-ES"/>
        </w:rPr>
      </w:pPr>
      <w:r>
        <w:rPr>
          <w:rStyle w:val="Refdenotaalpie"/>
        </w:rPr>
        <w:footnoteRef/>
      </w:r>
      <w:proofErr w:type="spellStart"/>
      <w:r w:rsidRPr="00577849">
        <w:rPr>
          <w:rFonts w:ascii="Arial" w:hAnsi="Arial" w:cs="Arial"/>
        </w:rPr>
        <w:t>Guardarucci</w:t>
      </w:r>
      <w:proofErr w:type="spellEnd"/>
      <w:r w:rsidRPr="00577849">
        <w:rPr>
          <w:rFonts w:ascii="Arial" w:hAnsi="Arial" w:cs="Arial"/>
        </w:rPr>
        <w:t xml:space="preserve">, M. (2019). REVISTA L'ATELIER Nº 1: "HACERSE CON LA INSTITUCIÓN”. Publicación del Grupo de Investigación sobre Psicosis y Autismo de la Sección Clínica de Barcelona y del Taller de Estudios sobre Práctica entre varios de la </w:t>
      </w:r>
      <w:proofErr w:type="spellStart"/>
      <w:r w:rsidRPr="00577849">
        <w:rPr>
          <w:rFonts w:ascii="Arial" w:hAnsi="Arial" w:cs="Arial"/>
        </w:rPr>
        <w:t>Associació</w:t>
      </w:r>
      <w:proofErr w:type="spellEnd"/>
      <w:r>
        <w:rPr>
          <w:rFonts w:ascii="Arial" w:hAnsi="Arial" w:cs="Arial"/>
        </w:rPr>
        <w:t xml:space="preserve"> </w:t>
      </w:r>
      <w:proofErr w:type="spellStart"/>
      <w:r w:rsidRPr="00577849">
        <w:rPr>
          <w:rFonts w:ascii="Arial" w:hAnsi="Arial" w:cs="Arial"/>
        </w:rPr>
        <w:t>TEAdir</w:t>
      </w:r>
      <w:proofErr w:type="spellEnd"/>
      <w:r w:rsidRPr="00577849">
        <w:rPr>
          <w:rFonts w:ascii="Arial" w:hAnsi="Arial" w:cs="Arial"/>
        </w:rPr>
        <w:t>. Barcelona, pp.96-98.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E72" w:rsidRDefault="00390E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8A" w:rsidRDefault="00E5658D"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E72" w:rsidRDefault="00390E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02DC6"/>
    <w:multiLevelType w:val="hybridMultilevel"/>
    <w:tmpl w:val="45DA1F18"/>
    <w:lvl w:ilvl="0" w:tplc="25C0BD00">
      <w:start w:val="1"/>
      <w:numFmt w:val="bullet"/>
      <w:suff w:val="space"/>
      <w:lvlText w:val=""/>
      <w:lvlJc w:val="left"/>
      <w:pPr>
        <w:ind w:left="0" w:firstLine="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1869"/>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4057"/>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0E72"/>
    <w:rsid w:val="00395843"/>
    <w:rsid w:val="003A7311"/>
    <w:rsid w:val="003B471C"/>
    <w:rsid w:val="003D10AB"/>
    <w:rsid w:val="003D4000"/>
    <w:rsid w:val="003F1EFD"/>
    <w:rsid w:val="003F4249"/>
    <w:rsid w:val="00401C75"/>
    <w:rsid w:val="0040761B"/>
    <w:rsid w:val="00413BC0"/>
    <w:rsid w:val="00422C3F"/>
    <w:rsid w:val="004354AC"/>
    <w:rsid w:val="00441E36"/>
    <w:rsid w:val="00446E1A"/>
    <w:rsid w:val="004847CA"/>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363E"/>
    <w:rsid w:val="006811D6"/>
    <w:rsid w:val="00690392"/>
    <w:rsid w:val="00697F98"/>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30CFF"/>
    <w:rsid w:val="00E55186"/>
    <w:rsid w:val="00E5658D"/>
    <w:rsid w:val="00E615F1"/>
    <w:rsid w:val="00E63146"/>
    <w:rsid w:val="00E64A1D"/>
    <w:rsid w:val="00E71869"/>
    <w:rsid w:val="00E74920"/>
    <w:rsid w:val="00E81EE5"/>
    <w:rsid w:val="00E91F21"/>
    <w:rsid w:val="00EB6956"/>
    <w:rsid w:val="00EE6672"/>
    <w:rsid w:val="00EF0D22"/>
    <w:rsid w:val="00F13C69"/>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57"/>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styleId="NormalWeb">
    <w:name w:val="Normal (Web)"/>
    <w:basedOn w:val="Normal"/>
    <w:uiPriority w:val="99"/>
    <w:rsid w:val="002C4057"/>
    <w:pPr>
      <w:suppressAutoHyphens/>
      <w:spacing w:before="280" w:after="280"/>
      <w:jc w:val="left"/>
    </w:pPr>
    <w:rPr>
      <w:szCs w:val="24"/>
      <w:lang w:val="es-ES" w:eastAsia="zh-CN"/>
    </w:rPr>
  </w:style>
  <w:style w:type="paragraph" w:styleId="Textonotapie">
    <w:name w:val="footnote text"/>
    <w:basedOn w:val="Normal"/>
    <w:link w:val="TextonotapieCar"/>
    <w:uiPriority w:val="99"/>
    <w:semiHidden/>
    <w:unhideWhenUsed/>
    <w:rsid w:val="002C4057"/>
    <w:pPr>
      <w:jc w:val="left"/>
    </w:pPr>
    <w:rPr>
      <w:rFonts w:ascii="Calibri" w:eastAsia="Calibri" w:hAnsi="Calibri"/>
      <w:sz w:val="20"/>
      <w:lang w:val="es-AR" w:eastAsia="en-US"/>
    </w:rPr>
  </w:style>
  <w:style w:type="character" w:customStyle="1" w:styleId="TextonotapieCar">
    <w:name w:val="Texto nota pie Car"/>
    <w:basedOn w:val="Fuentedeprrafopredeter"/>
    <w:link w:val="Textonotapie"/>
    <w:uiPriority w:val="99"/>
    <w:semiHidden/>
    <w:rsid w:val="002C4057"/>
    <w:rPr>
      <w:rFonts w:ascii="Calibri" w:eastAsia="Calibri" w:hAnsi="Calibri"/>
      <w:lang w:eastAsia="en-US"/>
    </w:rPr>
  </w:style>
  <w:style w:type="character" w:styleId="Refdenotaalpie">
    <w:name w:val="footnote reference"/>
    <w:uiPriority w:val="99"/>
    <w:semiHidden/>
    <w:unhideWhenUsed/>
    <w:rsid w:val="002C4057"/>
    <w:rPr>
      <w:vertAlign w:val="superscript"/>
    </w:rPr>
  </w:style>
  <w:style w:type="paragraph" w:styleId="Prrafodelista">
    <w:name w:val="List Paragraph"/>
    <w:basedOn w:val="Normal"/>
    <w:uiPriority w:val="34"/>
    <w:qFormat/>
    <w:rsid w:val="002C4057"/>
    <w:pPr>
      <w:spacing w:after="160" w:line="259" w:lineRule="auto"/>
      <w:ind w:left="720"/>
      <w:contextualSpacing/>
      <w:jc w:val="left"/>
    </w:pPr>
    <w:rPr>
      <w:rFonts w:ascii="Calibri" w:eastAsia="Calibri" w:hAnsi="Calibri"/>
      <w:sz w:val="22"/>
      <w:szCs w:val="22"/>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theomai.unq.edu.ar/Conflictos_sociales/Deleuze_Postdata_sociedad_contro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6be2afe5-e9df-426b-8515-eceea4b1aa5f%20(27).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8176F-5517-4779-AA29-CEB2119F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6be2afe5-e9df-426b-8515-eceea4b1aa5f (27).dotx</Template>
  <TotalTime>5</TotalTime>
  <Pages>1</Pages>
  <Words>2508</Words>
  <Characters>14173</Characters>
  <Application>Microsoft Office Word</Application>
  <DocSecurity>0</DocSecurity>
  <Lines>314</Lines>
  <Paragraphs>87</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Elda Roldán</cp:lastModifiedBy>
  <cp:revision>3</cp:revision>
  <cp:lastPrinted>2020-02-28T17:24:00Z</cp:lastPrinted>
  <dcterms:created xsi:type="dcterms:W3CDTF">2022-09-01T19:22:00Z</dcterms:created>
  <dcterms:modified xsi:type="dcterms:W3CDTF">2022-09-01T19:44:00Z</dcterms:modified>
</cp:coreProperties>
</file>