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39E6" w:rsidRDefault="00F339E6" w:rsidP="00F339E6">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PROYECTO DE LEY</w:t>
      </w:r>
    </w:p>
    <w:p w:rsidR="00F339E6" w:rsidRDefault="00F339E6" w:rsidP="00F339E6">
      <w:pPr>
        <w:spacing w:after="0" w:line="360" w:lineRule="auto"/>
        <w:jc w:val="center"/>
        <w:rPr>
          <w:rFonts w:ascii="Times New Roman" w:eastAsia="Times New Roman" w:hAnsi="Times New Roman" w:cs="Times New Roman"/>
          <w:b/>
          <w:sz w:val="24"/>
          <w:szCs w:val="24"/>
        </w:rPr>
      </w:pPr>
    </w:p>
    <w:p w:rsidR="00F339E6" w:rsidRDefault="00F339E6" w:rsidP="00F339E6">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Artículo 1°.-</w:t>
      </w:r>
      <w:r>
        <w:rPr>
          <w:rFonts w:ascii="Times New Roman" w:eastAsia="Times New Roman" w:hAnsi="Times New Roman" w:cs="Times New Roman"/>
          <w:sz w:val="24"/>
          <w:szCs w:val="24"/>
        </w:rPr>
        <w:t xml:space="preserve"> Incorpórese el artículo 45 bis a la Ley Nº 7 (texto consolidado por la Ley Nº  6.347), el que quedará redactado de la siguiente manera:</w:t>
      </w:r>
    </w:p>
    <w:p w:rsidR="00F339E6" w:rsidRDefault="00F339E6" w:rsidP="00F339E6">
      <w:pPr>
        <w:spacing w:after="0" w:line="360" w:lineRule="auto"/>
        <w:jc w:val="both"/>
        <w:rPr>
          <w:rFonts w:ascii="Times New Roman" w:eastAsia="Times New Roman" w:hAnsi="Times New Roman" w:cs="Times New Roman"/>
          <w:sz w:val="24"/>
          <w:szCs w:val="24"/>
        </w:rPr>
      </w:pPr>
    </w:p>
    <w:p w:rsidR="00F339E6" w:rsidRDefault="00F339E6" w:rsidP="00F339E6">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“Artículo 45 bis.- CENTRO TÉCNICO DE LA DISCAPACIDAD.</w:t>
      </w:r>
    </w:p>
    <w:p w:rsidR="00F339E6" w:rsidRDefault="00F339E6" w:rsidP="00F339E6">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Como auxiliar del Poder Judicial de la Ciudad Autónoma de Buenos Aires, designados/as por el Consejo de la Magistratura y bajo su superintendencia, funciona el Centro Técnico de Discapacidad, que actúa a requerimiento de los/as Jueces/as, </w:t>
      </w:r>
    </w:p>
    <w:p w:rsidR="00F339E6" w:rsidRDefault="00F339E6" w:rsidP="00F339E6">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i/>
          <w:color w:val="000000"/>
          <w:sz w:val="24"/>
          <w:szCs w:val="24"/>
        </w:rPr>
      </w:pPr>
      <w:r>
        <w:rPr>
          <w:rFonts w:ascii="Times New Roman" w:eastAsia="Times New Roman" w:hAnsi="Times New Roman" w:cs="Times New Roman"/>
          <w:i/>
          <w:sz w:val="24"/>
          <w:szCs w:val="24"/>
        </w:rPr>
        <w:t>El Centro Técnico de Discapacidad interviene en: las causas donde se encuentren involucrados derechos de personas con d</w:t>
      </w:r>
      <w:r>
        <w:rPr>
          <w:rFonts w:ascii="Times New Roman" w:eastAsia="Times New Roman" w:hAnsi="Times New Roman" w:cs="Times New Roman"/>
          <w:i/>
          <w:color w:val="000000"/>
          <w:sz w:val="24"/>
          <w:szCs w:val="24"/>
        </w:rPr>
        <w:t>iscapacidad, promoviendo su acceso a la justicia en igualdad de condiciones con los demás, mediante ajustes de procedimientos; la confección de informes interdisciplinarios; la elaboración de recomendaciones; la identificación y eliminación de barreras en materia de discapacidad y brinda asistencia, emite consejos y dictamina con perspectiva en discapacidad.</w:t>
      </w:r>
    </w:p>
    <w:p w:rsidR="00F339E6" w:rsidRDefault="00F339E6" w:rsidP="00F339E6">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El Consejo de la Magistratura de la Ciudad Autónoma de Buenos Aires debe dictar el Reglamento pertinente en lo referente a su organización y funcionamiento.”</w:t>
      </w:r>
    </w:p>
    <w:p w:rsidR="00F339E6" w:rsidRDefault="00F339E6" w:rsidP="00F339E6">
      <w:pPr>
        <w:spacing w:after="0" w:line="360" w:lineRule="auto"/>
        <w:jc w:val="both"/>
        <w:rPr>
          <w:rFonts w:ascii="Times New Roman" w:eastAsia="Times New Roman" w:hAnsi="Times New Roman" w:cs="Times New Roman"/>
          <w:b/>
          <w:sz w:val="24"/>
          <w:szCs w:val="24"/>
        </w:rPr>
      </w:pPr>
    </w:p>
    <w:p w:rsidR="00F339E6" w:rsidRDefault="00F339E6" w:rsidP="00F339E6">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Artículo 2°.- </w:t>
      </w:r>
      <w:r>
        <w:rPr>
          <w:rFonts w:ascii="Times New Roman" w:eastAsia="Times New Roman" w:hAnsi="Times New Roman" w:cs="Times New Roman"/>
          <w:sz w:val="24"/>
          <w:szCs w:val="24"/>
        </w:rPr>
        <w:t>Comuníquese, etc.</w:t>
      </w:r>
    </w:p>
    <w:p w:rsidR="00F339E6" w:rsidRDefault="00F339E6" w:rsidP="00F339E6">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sz w:val="24"/>
          <w:szCs w:val="24"/>
        </w:rPr>
      </w:pPr>
    </w:p>
    <w:p w:rsidR="00F339E6" w:rsidRDefault="00F339E6" w:rsidP="00F339E6">
      <w:pPr>
        <w:pBdr>
          <w:top w:val="nil"/>
          <w:left w:val="nil"/>
          <w:bottom w:val="nil"/>
          <w:right w:val="nil"/>
          <w:between w:val="nil"/>
        </w:pBdr>
        <w:shd w:val="clear" w:color="auto" w:fill="FFFFFF"/>
        <w:spacing w:after="0" w:line="360" w:lineRule="auto"/>
        <w:rPr>
          <w:rFonts w:ascii="Times New Roman" w:eastAsia="Times New Roman" w:hAnsi="Times New Roman" w:cs="Times New Roman"/>
          <w:b/>
          <w:sz w:val="24"/>
          <w:szCs w:val="24"/>
        </w:rPr>
      </w:pPr>
    </w:p>
    <w:p w:rsidR="00F339E6" w:rsidRDefault="00F339E6" w:rsidP="00F339E6">
      <w:pPr>
        <w:pBdr>
          <w:top w:val="nil"/>
          <w:left w:val="nil"/>
          <w:bottom w:val="nil"/>
          <w:right w:val="nil"/>
          <w:between w:val="nil"/>
        </w:pBdr>
        <w:shd w:val="clear" w:color="auto" w:fill="FFFFFF"/>
        <w:spacing w:after="0" w:line="360" w:lineRule="auto"/>
        <w:rPr>
          <w:rFonts w:ascii="Times New Roman" w:eastAsia="Times New Roman" w:hAnsi="Times New Roman" w:cs="Times New Roman"/>
          <w:b/>
          <w:sz w:val="24"/>
          <w:szCs w:val="24"/>
        </w:rPr>
      </w:pPr>
    </w:p>
    <w:p w:rsidR="00F339E6" w:rsidRDefault="00F339E6" w:rsidP="00F339E6">
      <w:pPr>
        <w:pBdr>
          <w:top w:val="nil"/>
          <w:left w:val="nil"/>
          <w:bottom w:val="nil"/>
          <w:right w:val="nil"/>
          <w:between w:val="nil"/>
        </w:pBdr>
        <w:shd w:val="clear" w:color="auto" w:fill="FFFFFF"/>
        <w:spacing w:after="0" w:line="360" w:lineRule="auto"/>
        <w:rPr>
          <w:rFonts w:ascii="Times New Roman" w:eastAsia="Times New Roman" w:hAnsi="Times New Roman" w:cs="Times New Roman"/>
          <w:b/>
          <w:sz w:val="24"/>
          <w:szCs w:val="24"/>
        </w:rPr>
      </w:pPr>
    </w:p>
    <w:p w:rsidR="00F339E6" w:rsidRDefault="00F339E6" w:rsidP="00F339E6">
      <w:pPr>
        <w:pBdr>
          <w:top w:val="nil"/>
          <w:left w:val="nil"/>
          <w:bottom w:val="nil"/>
          <w:right w:val="nil"/>
          <w:between w:val="nil"/>
        </w:pBdr>
        <w:shd w:val="clear" w:color="auto" w:fill="FFFFFF"/>
        <w:spacing w:after="0" w:line="360" w:lineRule="auto"/>
        <w:rPr>
          <w:rFonts w:ascii="Times New Roman" w:eastAsia="Times New Roman" w:hAnsi="Times New Roman" w:cs="Times New Roman"/>
          <w:b/>
          <w:sz w:val="24"/>
          <w:szCs w:val="24"/>
        </w:rPr>
      </w:pPr>
    </w:p>
    <w:p w:rsidR="00F339E6" w:rsidRDefault="00F339E6" w:rsidP="00F339E6">
      <w:pPr>
        <w:pBdr>
          <w:top w:val="nil"/>
          <w:left w:val="nil"/>
          <w:bottom w:val="nil"/>
          <w:right w:val="nil"/>
          <w:between w:val="nil"/>
        </w:pBdr>
        <w:shd w:val="clear" w:color="auto" w:fill="FFFFFF"/>
        <w:spacing w:after="0" w:line="360" w:lineRule="auto"/>
        <w:rPr>
          <w:rFonts w:ascii="Times New Roman" w:eastAsia="Times New Roman" w:hAnsi="Times New Roman" w:cs="Times New Roman"/>
          <w:b/>
          <w:sz w:val="24"/>
          <w:szCs w:val="24"/>
        </w:rPr>
      </w:pPr>
    </w:p>
    <w:p w:rsidR="00F339E6" w:rsidRDefault="00F339E6" w:rsidP="00F339E6">
      <w:pPr>
        <w:pBdr>
          <w:top w:val="nil"/>
          <w:left w:val="nil"/>
          <w:bottom w:val="nil"/>
          <w:right w:val="nil"/>
          <w:between w:val="nil"/>
        </w:pBdr>
        <w:shd w:val="clear" w:color="auto" w:fill="FFFFFF"/>
        <w:spacing w:after="0" w:line="360" w:lineRule="auto"/>
        <w:jc w:val="center"/>
        <w:rPr>
          <w:rFonts w:ascii="Times New Roman" w:eastAsia="Times New Roman" w:hAnsi="Times New Roman" w:cs="Times New Roman"/>
          <w:b/>
          <w:sz w:val="24"/>
          <w:szCs w:val="24"/>
        </w:rPr>
      </w:pPr>
    </w:p>
    <w:p w:rsidR="00F339E6" w:rsidRDefault="00F339E6" w:rsidP="00F339E6">
      <w:pPr>
        <w:pBdr>
          <w:top w:val="nil"/>
          <w:left w:val="nil"/>
          <w:bottom w:val="nil"/>
          <w:right w:val="nil"/>
          <w:between w:val="nil"/>
        </w:pBdr>
        <w:shd w:val="clear" w:color="auto" w:fill="FFFFFF"/>
        <w:spacing w:after="0" w:line="360" w:lineRule="auto"/>
        <w:jc w:val="center"/>
        <w:rPr>
          <w:rFonts w:ascii="Times New Roman" w:eastAsia="Times New Roman" w:hAnsi="Times New Roman" w:cs="Times New Roman"/>
          <w:b/>
          <w:sz w:val="24"/>
          <w:szCs w:val="24"/>
        </w:rPr>
      </w:pPr>
    </w:p>
    <w:p w:rsidR="00F339E6" w:rsidRDefault="00F339E6" w:rsidP="00F339E6">
      <w:pPr>
        <w:pBdr>
          <w:top w:val="nil"/>
          <w:left w:val="nil"/>
          <w:bottom w:val="nil"/>
          <w:right w:val="nil"/>
          <w:between w:val="nil"/>
        </w:pBdr>
        <w:shd w:val="clear" w:color="auto" w:fill="FFFFFF"/>
        <w:spacing w:after="0" w:line="360" w:lineRule="auto"/>
        <w:jc w:val="center"/>
        <w:rPr>
          <w:rFonts w:ascii="Times New Roman" w:eastAsia="Times New Roman" w:hAnsi="Times New Roman" w:cs="Times New Roman"/>
          <w:b/>
          <w:sz w:val="24"/>
          <w:szCs w:val="24"/>
        </w:rPr>
      </w:pPr>
    </w:p>
    <w:p w:rsidR="00F339E6" w:rsidRDefault="00F339E6" w:rsidP="00F339E6">
      <w:pPr>
        <w:pBdr>
          <w:top w:val="nil"/>
          <w:left w:val="nil"/>
          <w:bottom w:val="nil"/>
          <w:right w:val="nil"/>
          <w:between w:val="nil"/>
        </w:pBdr>
        <w:shd w:val="clear" w:color="auto" w:fill="FFFFFF"/>
        <w:spacing w:after="0" w:line="360" w:lineRule="auto"/>
        <w:jc w:val="center"/>
        <w:rPr>
          <w:rFonts w:ascii="Times New Roman" w:eastAsia="Times New Roman" w:hAnsi="Times New Roman" w:cs="Times New Roman"/>
          <w:b/>
          <w:sz w:val="24"/>
          <w:szCs w:val="24"/>
        </w:rPr>
      </w:pPr>
    </w:p>
    <w:p w:rsidR="00F339E6" w:rsidRDefault="00F339E6" w:rsidP="00F339E6">
      <w:pPr>
        <w:pBdr>
          <w:top w:val="nil"/>
          <w:left w:val="nil"/>
          <w:bottom w:val="nil"/>
          <w:right w:val="nil"/>
          <w:between w:val="nil"/>
        </w:pBdr>
        <w:shd w:val="clear" w:color="auto" w:fill="FFFFFF"/>
        <w:spacing w:after="0" w:line="360" w:lineRule="auto"/>
        <w:jc w:val="center"/>
        <w:rPr>
          <w:rFonts w:ascii="Times New Roman" w:eastAsia="Times New Roman" w:hAnsi="Times New Roman" w:cs="Times New Roman"/>
          <w:b/>
          <w:sz w:val="24"/>
          <w:szCs w:val="24"/>
        </w:rPr>
      </w:pPr>
    </w:p>
    <w:p w:rsidR="00F339E6" w:rsidRDefault="00F339E6" w:rsidP="00F339E6">
      <w:pPr>
        <w:pBdr>
          <w:top w:val="nil"/>
          <w:left w:val="nil"/>
          <w:bottom w:val="nil"/>
          <w:right w:val="nil"/>
          <w:between w:val="nil"/>
        </w:pBdr>
        <w:shd w:val="clear" w:color="auto" w:fill="FFFFFF"/>
        <w:spacing w:after="0" w:line="360" w:lineRule="auto"/>
        <w:jc w:val="center"/>
        <w:rPr>
          <w:rFonts w:ascii="Times New Roman" w:eastAsia="Times New Roman" w:hAnsi="Times New Roman" w:cs="Times New Roman"/>
          <w:b/>
          <w:sz w:val="24"/>
          <w:szCs w:val="24"/>
        </w:rPr>
      </w:pPr>
    </w:p>
    <w:p w:rsidR="00F339E6" w:rsidRDefault="00F339E6" w:rsidP="00F339E6">
      <w:pPr>
        <w:pBdr>
          <w:top w:val="nil"/>
          <w:left w:val="nil"/>
          <w:bottom w:val="nil"/>
          <w:right w:val="nil"/>
          <w:between w:val="nil"/>
        </w:pBdr>
        <w:shd w:val="clear" w:color="auto" w:fill="FFFFFF"/>
        <w:spacing w:after="0" w:line="360" w:lineRule="auto"/>
        <w:jc w:val="center"/>
        <w:rPr>
          <w:rFonts w:ascii="Times New Roman" w:eastAsia="Times New Roman" w:hAnsi="Times New Roman" w:cs="Times New Roman"/>
          <w:b/>
          <w:sz w:val="24"/>
          <w:szCs w:val="24"/>
        </w:rPr>
      </w:pPr>
    </w:p>
    <w:p w:rsidR="00F339E6" w:rsidRDefault="00F339E6" w:rsidP="00F339E6">
      <w:pPr>
        <w:pBdr>
          <w:top w:val="nil"/>
          <w:left w:val="nil"/>
          <w:bottom w:val="nil"/>
          <w:right w:val="nil"/>
          <w:between w:val="nil"/>
        </w:pBdr>
        <w:shd w:val="clear" w:color="auto" w:fill="FFFFFF"/>
        <w:spacing w:after="0" w:line="360" w:lineRule="auto"/>
        <w:jc w:val="center"/>
        <w:rPr>
          <w:rFonts w:ascii="Times New Roman" w:eastAsia="Times New Roman" w:hAnsi="Times New Roman" w:cs="Times New Roman"/>
          <w:b/>
          <w:sz w:val="24"/>
          <w:szCs w:val="24"/>
        </w:rPr>
      </w:pPr>
    </w:p>
    <w:p w:rsidR="00776507" w:rsidRDefault="00776507" w:rsidP="00F339E6">
      <w:pPr>
        <w:pBdr>
          <w:top w:val="nil"/>
          <w:left w:val="nil"/>
          <w:bottom w:val="nil"/>
          <w:right w:val="nil"/>
          <w:between w:val="nil"/>
        </w:pBdr>
        <w:shd w:val="clear" w:color="auto" w:fill="FFFFFF"/>
        <w:spacing w:after="0" w:line="360" w:lineRule="auto"/>
        <w:jc w:val="center"/>
        <w:rPr>
          <w:rFonts w:ascii="Times New Roman" w:eastAsia="Times New Roman" w:hAnsi="Times New Roman" w:cs="Times New Roman"/>
          <w:b/>
          <w:sz w:val="24"/>
          <w:szCs w:val="24"/>
        </w:rPr>
      </w:pPr>
    </w:p>
    <w:p w:rsidR="00776507" w:rsidRDefault="00776507" w:rsidP="00F339E6">
      <w:pPr>
        <w:pBdr>
          <w:top w:val="nil"/>
          <w:left w:val="nil"/>
          <w:bottom w:val="nil"/>
          <w:right w:val="nil"/>
          <w:between w:val="nil"/>
        </w:pBdr>
        <w:shd w:val="clear" w:color="auto" w:fill="FFFFFF"/>
        <w:spacing w:after="0" w:line="360" w:lineRule="auto"/>
        <w:jc w:val="center"/>
        <w:rPr>
          <w:rFonts w:ascii="Times New Roman" w:eastAsia="Times New Roman" w:hAnsi="Times New Roman" w:cs="Times New Roman"/>
          <w:b/>
          <w:sz w:val="24"/>
          <w:szCs w:val="24"/>
        </w:rPr>
      </w:pPr>
    </w:p>
    <w:p w:rsidR="00776507" w:rsidRDefault="00776507" w:rsidP="00F339E6">
      <w:pPr>
        <w:pBdr>
          <w:top w:val="nil"/>
          <w:left w:val="nil"/>
          <w:bottom w:val="nil"/>
          <w:right w:val="nil"/>
          <w:between w:val="nil"/>
        </w:pBdr>
        <w:shd w:val="clear" w:color="auto" w:fill="FFFFFF"/>
        <w:spacing w:after="0" w:line="360" w:lineRule="auto"/>
        <w:jc w:val="center"/>
        <w:rPr>
          <w:rFonts w:ascii="Times New Roman" w:eastAsia="Times New Roman" w:hAnsi="Times New Roman" w:cs="Times New Roman"/>
          <w:b/>
          <w:sz w:val="24"/>
          <w:szCs w:val="24"/>
        </w:rPr>
      </w:pPr>
    </w:p>
    <w:p w:rsidR="00776507" w:rsidRDefault="00776507" w:rsidP="00F339E6">
      <w:pPr>
        <w:pBdr>
          <w:top w:val="nil"/>
          <w:left w:val="nil"/>
          <w:bottom w:val="nil"/>
          <w:right w:val="nil"/>
          <w:between w:val="nil"/>
        </w:pBdr>
        <w:shd w:val="clear" w:color="auto" w:fill="FFFFFF"/>
        <w:spacing w:after="0" w:line="360" w:lineRule="auto"/>
        <w:jc w:val="center"/>
        <w:rPr>
          <w:rFonts w:ascii="Times New Roman" w:eastAsia="Times New Roman" w:hAnsi="Times New Roman" w:cs="Times New Roman"/>
          <w:b/>
          <w:sz w:val="24"/>
          <w:szCs w:val="24"/>
        </w:rPr>
      </w:pPr>
    </w:p>
    <w:p w:rsidR="00F339E6" w:rsidRDefault="00F339E6" w:rsidP="00F339E6">
      <w:pPr>
        <w:pBdr>
          <w:top w:val="nil"/>
          <w:left w:val="nil"/>
          <w:bottom w:val="nil"/>
          <w:right w:val="nil"/>
          <w:between w:val="nil"/>
        </w:pBdr>
        <w:shd w:val="clear" w:color="auto" w:fill="FFFFFF"/>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FUNDAMENTOS</w:t>
      </w:r>
    </w:p>
    <w:p w:rsidR="00F339E6" w:rsidRDefault="00F339E6" w:rsidP="00F339E6">
      <w:pPr>
        <w:pBdr>
          <w:top w:val="nil"/>
          <w:left w:val="nil"/>
          <w:bottom w:val="nil"/>
          <w:right w:val="nil"/>
          <w:between w:val="nil"/>
        </w:pBdr>
        <w:shd w:val="clear" w:color="auto" w:fill="FFFFFF"/>
        <w:spacing w:after="0" w:line="360" w:lineRule="auto"/>
        <w:rPr>
          <w:rFonts w:ascii="Times New Roman" w:eastAsia="Times New Roman" w:hAnsi="Times New Roman" w:cs="Times New Roman"/>
          <w:b/>
          <w:sz w:val="24"/>
          <w:szCs w:val="24"/>
        </w:rPr>
      </w:pPr>
    </w:p>
    <w:p w:rsidR="00F339E6" w:rsidRDefault="00F339E6" w:rsidP="00F339E6">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Señor Vicepresidente 1°:</w:t>
      </w:r>
    </w:p>
    <w:p w:rsidR="00F339E6" w:rsidRDefault="00F339E6" w:rsidP="00F339E6">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sz w:val="24"/>
          <w:szCs w:val="24"/>
        </w:rPr>
      </w:pPr>
    </w:p>
    <w:p w:rsidR="00F339E6" w:rsidRDefault="00F339E6" w:rsidP="00F339E6">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F339E6" w:rsidRDefault="00F339E6" w:rsidP="00F339E6">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El presente Proyecto de Ley tiene como objeto crear el “Centro Técnico de la Discapacidad” como auxiliar del Poder Judicial de la Ciudad Autónoma de Buenos Aires y con la finalidad de intervenir en los expedientes donde se encuentren involucrados los derechos de personas con discapacidad, visibilizando, priorizando  y  promoviendo su acceso a la justicia en igualdad de condiciones con quienes no poseen discapacidad, mediante ajustes de procedimientos, la confección de informes inherentes a cada tipo de discapacidad, la elaboración de recomendaciones, la identificación y eliminación de todo tipo de barreras en materia de discapacidad y brindando asesoramiento e informes técnicos no vinculantes con perspectiva y sensibilidad en discapacidad.</w:t>
      </w:r>
    </w:p>
    <w:p w:rsidR="00F339E6" w:rsidRDefault="00F339E6" w:rsidP="00F339E6">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sz w:val="24"/>
          <w:szCs w:val="24"/>
        </w:rPr>
      </w:pPr>
    </w:p>
    <w:p w:rsidR="00F339E6" w:rsidRDefault="00F339E6" w:rsidP="00F339E6">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La Constitución de la Ciudad Autónoma de Buenos Aires en el art. 24 establece que la Ciudad: </w:t>
      </w:r>
      <w:r>
        <w:rPr>
          <w:rFonts w:ascii="Times New Roman" w:eastAsia="Times New Roman" w:hAnsi="Times New Roman" w:cs="Times New Roman"/>
          <w:i/>
          <w:sz w:val="24"/>
          <w:szCs w:val="24"/>
        </w:rPr>
        <w:t>“Garantiza el derecho de las personas con necesidades especiales a educarse y ejercer tareas docentes, promoviendo su integración en todos los niveles y modalidades del sistema.”</w:t>
      </w:r>
      <w:r>
        <w:rPr>
          <w:rFonts w:ascii="Times New Roman" w:eastAsia="Times New Roman" w:hAnsi="Times New Roman" w:cs="Times New Roman"/>
          <w:sz w:val="24"/>
          <w:szCs w:val="24"/>
        </w:rPr>
        <w:t xml:space="preserve"> y, específicamente, el art. 42, afirma: </w:t>
      </w:r>
      <w:r>
        <w:rPr>
          <w:rFonts w:ascii="Times New Roman" w:eastAsia="Times New Roman" w:hAnsi="Times New Roman" w:cs="Times New Roman"/>
          <w:i/>
          <w:sz w:val="24"/>
          <w:szCs w:val="24"/>
        </w:rPr>
        <w:t>“La Ciudad garantiza a las personas con necesidades especiales el derecho a su plena integración, a la información y a la equiparación de oportunidades. Ejecuta políticas de promoción y protección integral, tendientes a la prevención, rehabilitación, capacitación, educación e inserción social y laboral. Prevé el desarrollo de un hábitat libre de barreras naturales, culturales, lingüísticas, comunicacionales, sociales, educacionales, arquitectónicas, urbanísticas, del transporte y de cualquier otro tipo, y la eliminación de las existentes.”</w:t>
      </w:r>
    </w:p>
    <w:p w:rsidR="00F339E6" w:rsidRDefault="00F339E6" w:rsidP="00F339E6">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sz w:val="24"/>
          <w:szCs w:val="24"/>
        </w:rPr>
      </w:pPr>
    </w:p>
    <w:p w:rsidR="00F339E6" w:rsidRDefault="00F339E6" w:rsidP="00F339E6">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color w:val="00B050"/>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color w:val="000000"/>
          <w:sz w:val="24"/>
          <w:szCs w:val="24"/>
        </w:rPr>
        <w:t>El colectivo de las personas con discapacidad constituye un grupo vulnerable contemplado en la Constitución Nacional, los Tratados Internacionales y en la Constitución de la Ciudad Autónoma de Buenos Aires, al cual se le otorga prioridad para el tratamiento de los temas que impiden el desarrollo de su vida en igualdad de condiciones con lo demás</w:t>
      </w:r>
      <w:r>
        <w:rPr>
          <w:rFonts w:ascii="Times New Roman" w:eastAsia="Times New Roman" w:hAnsi="Times New Roman" w:cs="Times New Roman"/>
          <w:color w:val="00B050"/>
          <w:sz w:val="24"/>
          <w:szCs w:val="24"/>
        </w:rPr>
        <w:t xml:space="preserve">, </w:t>
      </w:r>
      <w:r>
        <w:rPr>
          <w:rFonts w:ascii="Times New Roman" w:eastAsia="Times New Roman" w:hAnsi="Times New Roman" w:cs="Times New Roman"/>
          <w:color w:val="000000"/>
          <w:sz w:val="24"/>
          <w:szCs w:val="24"/>
        </w:rPr>
        <w:t xml:space="preserve">debiendo enfrentar en la vida cotidiana diferentes problemáticas caracterizadas por innumerables barreras arquitectónicas, físicas, comunicacionales, culturales, legales y actitudinales. En ese esquema el Consejo de la Magistratura de la Ciudad Autónoma de Buenos Aires ha dictado la Resolución N° 932/2021 que crea el Observatorio de Discapacidad, en el ámbito de la Justicia, que </w:t>
      </w:r>
      <w:r>
        <w:rPr>
          <w:rFonts w:ascii="Times New Roman" w:eastAsia="Times New Roman" w:hAnsi="Times New Roman" w:cs="Times New Roman"/>
          <w:color w:val="000000"/>
          <w:sz w:val="24"/>
          <w:szCs w:val="24"/>
        </w:rPr>
        <w:lastRenderedPageBreak/>
        <w:t>tiene como objeto el seguimiento, recopilación e investigación de las presentaciones de parte, de las resoluciones y de las sentencias de ambos fueros de la judicatura local, dónde se pongan de manifiesto derechos de personas con discapacidad. Asimismo, este organismo aprobó como política pública la Resolución CM N° 252/2020, del Plan Integral de Inclusión de Personas con Discapacidad del Poder Judicial de la Ciudad Autónoma de Buenos Aires,con el objetivo principal de brindar asistencia a los Juzgados que así lo soliciten en relación a los ajustes de procedimiento para cada tipo de deficiencia y con la facultad de dictaminar ante el requerimiento jurisdiccional con recomendaciones e informes relativos a la temática de la discapacidad aplicados al caso concreto.</w:t>
      </w:r>
    </w:p>
    <w:p w:rsidR="00F339E6" w:rsidRDefault="00F339E6" w:rsidP="00F339E6">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color w:val="000000"/>
          <w:sz w:val="24"/>
          <w:szCs w:val="24"/>
        </w:rPr>
      </w:pPr>
    </w:p>
    <w:p w:rsidR="00F339E6" w:rsidRDefault="00F339E6" w:rsidP="00F339E6">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Teniendo en cuenta, que la Ley N° 7 Orgánica del Poder Judicial de la Ciudad Autónoma de Buenos Aires, en su artículo 45 reglamenta el Cuerpo Técnico Auxiliar de la justicia porteña, en los siguientes términos: </w:t>
      </w:r>
      <w:r>
        <w:rPr>
          <w:rFonts w:ascii="Times New Roman" w:eastAsia="Times New Roman" w:hAnsi="Times New Roman" w:cs="Times New Roman"/>
          <w:i/>
          <w:color w:val="000000"/>
          <w:sz w:val="24"/>
          <w:szCs w:val="24"/>
        </w:rPr>
        <w:t>“</w:t>
      </w:r>
      <w:r>
        <w:rPr>
          <w:rFonts w:ascii="Times New Roman" w:eastAsia="Times New Roman" w:hAnsi="Times New Roman" w:cs="Times New Roman"/>
          <w:i/>
          <w:color w:val="000000"/>
        </w:rPr>
        <w:t>Como auxiliares del Poder Judicial de la Ciudad, designados/as por el Consejo de la Magistratura y bajo su superintendencia funcionan cuerpos técnicos periciales y peritos, que actúan siempre a requerimiento de los jueces o juezas o del Ministerio Público, según su caso…”</w:t>
      </w:r>
      <w:r>
        <w:rPr>
          <w:rFonts w:ascii="Times New Roman" w:eastAsia="Times New Roman" w:hAnsi="Times New Roman" w:cs="Times New Roman"/>
          <w:color w:val="000000"/>
        </w:rPr>
        <w:t xml:space="preserve">, se considera conveniente integrar un Centro Técnico de la Discapacidad, a efectos de desarrollar las actividades mencionadas en el primer párrafo de la presente, todo ello teniendo en cuenta la </w:t>
      </w:r>
      <w:r>
        <w:rPr>
          <w:rFonts w:ascii="Times New Roman" w:eastAsia="Times New Roman" w:hAnsi="Times New Roman" w:cs="Times New Roman"/>
          <w:color w:val="000000"/>
          <w:sz w:val="24"/>
          <w:szCs w:val="24"/>
        </w:rPr>
        <w:t>clara manda que emana de la Convención Internacional sobre los Derechos de las Personas con Discapacidad, con raigambre constitucional por conducto de la Ley N° 27.044 (art. 75 inc. 22 CN).</w:t>
      </w:r>
    </w:p>
    <w:p w:rsidR="00F339E6" w:rsidRDefault="00F339E6" w:rsidP="00F339E6">
      <w:p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color w:val="000000"/>
          <w:sz w:val="24"/>
          <w:szCs w:val="24"/>
        </w:rPr>
      </w:pPr>
    </w:p>
    <w:p w:rsidR="00F339E6" w:rsidRDefault="00F339E6" w:rsidP="00F339E6">
      <w:pPr>
        <w:spacing w:after="0" w:line="36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En primer lugar, el artículo 4° señala: </w:t>
      </w:r>
      <w:r>
        <w:rPr>
          <w:rFonts w:ascii="Times New Roman" w:eastAsia="Times New Roman" w:hAnsi="Times New Roman" w:cs="Times New Roman"/>
          <w:i/>
          <w:sz w:val="24"/>
          <w:szCs w:val="24"/>
        </w:rPr>
        <w:t>“Obligaciones Generales: Los Estados Partes se comprometen a asegurar y promover el pleno ejercicio de todos los derechos humanos y las libertades fundamentales de las personas con discapacidad sin discriminación alguna por motivos de discapacidad. A tal fin, los Estados Partes se comprometen a: a) Adoptar todas las medidas legislativas, administrativas y de otra índole que sean pertinentes para hacer efectivos los derechos reconocidos en la presente Convención.”</w:t>
      </w:r>
    </w:p>
    <w:p w:rsidR="00F339E6" w:rsidRDefault="00F339E6" w:rsidP="00F339E6">
      <w:pPr>
        <w:spacing w:after="0" w:line="360" w:lineRule="auto"/>
        <w:jc w:val="both"/>
        <w:rPr>
          <w:rFonts w:ascii="Times New Roman" w:eastAsia="Times New Roman" w:hAnsi="Times New Roman" w:cs="Times New Roman"/>
          <w:sz w:val="24"/>
          <w:szCs w:val="24"/>
        </w:rPr>
      </w:pPr>
    </w:p>
    <w:p w:rsidR="00F339E6" w:rsidRDefault="00F339E6" w:rsidP="00F339E6">
      <w:pPr>
        <w:spacing w:after="0" w:line="36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En tal sentido, el artículo 13° dispone: </w:t>
      </w:r>
      <w:r>
        <w:rPr>
          <w:rFonts w:ascii="Times New Roman" w:eastAsia="Times New Roman" w:hAnsi="Times New Roman" w:cs="Times New Roman"/>
          <w:i/>
          <w:sz w:val="24"/>
          <w:szCs w:val="24"/>
        </w:rPr>
        <w:t xml:space="preserve">“Acceso a la Justicia: Los Estados Partes asegurarán que las personas con discapacidad tengan acceso a la justicia en igualdad de condiciones con las demás, incluso mediante ajustes de procedimiento y adecuados a la edad, para facilitar el desempeño de las funciones efectivas de esas personas como participantes directos e indirectos, incluida la declaración como testigos, en todos los procedimientos judiciales, con inclusión de la etapa de investigación y otras etapas preliminares.” </w:t>
      </w:r>
    </w:p>
    <w:p w:rsidR="00F339E6" w:rsidRDefault="00F339E6" w:rsidP="00F339E6">
      <w:pPr>
        <w:spacing w:after="0" w:line="360" w:lineRule="auto"/>
        <w:jc w:val="both"/>
        <w:rPr>
          <w:rFonts w:ascii="Times New Roman" w:eastAsia="Times New Roman" w:hAnsi="Times New Roman" w:cs="Times New Roman"/>
          <w:sz w:val="24"/>
          <w:szCs w:val="24"/>
        </w:rPr>
      </w:pPr>
    </w:p>
    <w:p w:rsidR="00F339E6" w:rsidRDefault="00F339E6" w:rsidP="00F339E6">
      <w:pPr>
        <w:spacing w:after="0" w:line="36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El artículo 14°, indica: </w:t>
      </w:r>
      <w:r>
        <w:rPr>
          <w:rFonts w:ascii="Times New Roman" w:eastAsia="Times New Roman" w:hAnsi="Times New Roman" w:cs="Times New Roman"/>
          <w:i/>
          <w:sz w:val="24"/>
          <w:szCs w:val="24"/>
        </w:rPr>
        <w:t>“Libertad y seguridad de la Persona: Los Estados Partes asegurarán que las personas con discapacidad que se vean privadas de su libertad en razón de un proceso tengan, en igualdad de condiciones con las demás, derecho a garantías de conformidad con el derecho internacional de los derechos humanos y a ser tratadas de conformidad con los objetivos y principios de la presente Convención, incluida la realización de ajustes razonables”.</w:t>
      </w:r>
    </w:p>
    <w:p w:rsidR="00F339E6" w:rsidRDefault="00F339E6" w:rsidP="00F339E6">
      <w:pPr>
        <w:spacing w:after="0" w:line="360" w:lineRule="auto"/>
        <w:jc w:val="both"/>
        <w:rPr>
          <w:rFonts w:ascii="Times New Roman" w:eastAsia="Times New Roman" w:hAnsi="Times New Roman" w:cs="Times New Roman"/>
          <w:sz w:val="24"/>
          <w:szCs w:val="24"/>
        </w:rPr>
      </w:pPr>
    </w:p>
    <w:p w:rsidR="00F339E6" w:rsidRDefault="00F339E6" w:rsidP="00F339E6">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Asimismo, el artículo 15°, referencia: </w:t>
      </w:r>
      <w:r>
        <w:rPr>
          <w:rFonts w:ascii="Times New Roman" w:eastAsia="Times New Roman" w:hAnsi="Times New Roman" w:cs="Times New Roman"/>
          <w:i/>
          <w:sz w:val="24"/>
          <w:szCs w:val="24"/>
        </w:rPr>
        <w:t>“Protección contra la tortura y otros tratos y penas crueles, inhumanos o degradantes: Los Estados Partes tomarán todas las medidas de carácter legislativo, administrativo, judicial o de otra índole que sean efectivas para evitar que las personas con discapacidad, en igualdad de condiciones con las demás, sean sometidas a torturas u otros tratos o penas crueles, inhumanos o degradantes.”</w:t>
      </w:r>
    </w:p>
    <w:p w:rsidR="00F339E6" w:rsidRDefault="00F339E6" w:rsidP="00F339E6">
      <w:pPr>
        <w:spacing w:after="0" w:line="360" w:lineRule="auto"/>
        <w:jc w:val="both"/>
        <w:rPr>
          <w:rFonts w:ascii="Times New Roman" w:eastAsia="Times New Roman" w:hAnsi="Times New Roman" w:cs="Times New Roman"/>
          <w:sz w:val="24"/>
          <w:szCs w:val="24"/>
        </w:rPr>
      </w:pPr>
    </w:p>
    <w:p w:rsidR="00F339E6" w:rsidRDefault="00F339E6" w:rsidP="00F339E6">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Por otro lado, el Comité sobre los Derechos de las Personas con Discapacidad de Naciones Unidas que es el órgano de expertos independientes que supervisa la aplicación de la Convención por parte de los Estados Partes, refiere en la Observación General número 1 (2014) sobre el artículo indica: “[…] </w:t>
      </w:r>
      <w:r>
        <w:rPr>
          <w:rFonts w:ascii="Times New Roman" w:eastAsia="Times New Roman" w:hAnsi="Times New Roman" w:cs="Times New Roman"/>
          <w:i/>
          <w:sz w:val="24"/>
          <w:szCs w:val="24"/>
        </w:rPr>
        <w:t xml:space="preserve">Los Estados partes tienen la obligación de velar por que las personas con discapacidad tengan acceso a la justicia en igualdad de condiciones con las demás. El reconocimiento del derecho a la capacidad jurídica es esencial para el acceso a la justicia en muchos aspectos. Para que las personas con discapacidad puedan exigir el cumplimiento de sus derechos y obligaciones en igualdad de condiciones con las demás, debe reconocérseles la personalidad jurídica con la misma capacidad ante las cortes de justicia y los tribunales […] Con frecuencia se ha excluido a las personas con discapacidad del desempeño de funciones esenciales en el sistema de justicia, en calidad de abogados, jueces, testigos o miembros de un jurado” </w:t>
      </w:r>
      <w:r>
        <w:rPr>
          <w:rFonts w:ascii="Times New Roman" w:eastAsia="Times New Roman" w:hAnsi="Times New Roman" w:cs="Times New Roman"/>
          <w:sz w:val="24"/>
          <w:szCs w:val="24"/>
        </w:rPr>
        <w:t>y agrega</w:t>
      </w:r>
      <w:r>
        <w:rPr>
          <w:rFonts w:ascii="Times New Roman" w:eastAsia="Times New Roman" w:hAnsi="Times New Roman" w:cs="Times New Roman"/>
          <w:i/>
          <w:sz w:val="24"/>
          <w:szCs w:val="24"/>
        </w:rPr>
        <w:t xml:space="preserve"> “[…]se debe reconocer la capacidad jurídica de las personas con discapacidad para testificar en igualdad de condiciones con las demás. El artículo 12 de la Convención garantiza el apoyo en el ejercicio de la capacidad jurídica, incluida la capacidad de testificar en las actuaciones judiciales y administrativas y otras actuaciones jurídicas. Ese apoyo puede adoptar formas diversas, como el reconocimiento de distintos métodos de comunicación, la autorización de los testimonios por vídeo en determinadas situaciones, la realización de ajustes procesales, la prestación de servicios de interpretación profesional en lengua de señas y otros métodos de asistencia” </w:t>
      </w:r>
      <w:r>
        <w:rPr>
          <w:rFonts w:ascii="Times New Roman" w:eastAsia="Times New Roman" w:hAnsi="Times New Roman" w:cs="Times New Roman"/>
          <w:sz w:val="24"/>
          <w:szCs w:val="24"/>
        </w:rPr>
        <w:t>(conforme acápite 38 y 39).</w:t>
      </w:r>
    </w:p>
    <w:p w:rsidR="00F339E6" w:rsidRDefault="00F339E6" w:rsidP="00F339E6">
      <w:pPr>
        <w:spacing w:after="0" w:line="360" w:lineRule="auto"/>
        <w:ind w:firstLine="851"/>
        <w:jc w:val="both"/>
        <w:rPr>
          <w:rFonts w:ascii="Times New Roman" w:eastAsia="Times New Roman" w:hAnsi="Times New Roman" w:cs="Times New Roman"/>
          <w:sz w:val="24"/>
          <w:szCs w:val="24"/>
        </w:rPr>
      </w:pPr>
    </w:p>
    <w:p w:rsidR="00F339E6" w:rsidRDefault="00F339E6" w:rsidP="00F339E6">
      <w:pPr>
        <w:spacing w:after="0" w:line="360" w:lineRule="auto"/>
        <w:ind w:firstLine="851"/>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 xml:space="preserve">Por su parte en la Observación General 2 establece que </w:t>
      </w:r>
      <w:r>
        <w:rPr>
          <w:rFonts w:ascii="Times New Roman" w:eastAsia="Times New Roman" w:hAnsi="Times New Roman" w:cs="Times New Roman"/>
          <w:i/>
          <w:sz w:val="24"/>
          <w:szCs w:val="24"/>
        </w:rPr>
        <w:t xml:space="preserve">“[…] No puede haber un acceso efectivo a la justicia si los edificios en que están ubicados los organismos encargados de hacer cumplir la ley y de administrar la justicia no son físicamente accesibles para las personas con discapacidad, o si no son accesibles los servicios, la información y la comunicación que proporcionan (art. 13)” </w:t>
      </w:r>
      <w:r>
        <w:rPr>
          <w:rFonts w:ascii="Times New Roman" w:eastAsia="Times New Roman" w:hAnsi="Times New Roman" w:cs="Times New Roman"/>
          <w:sz w:val="24"/>
          <w:szCs w:val="24"/>
        </w:rPr>
        <w:t>(conforme acápite 37).</w:t>
      </w:r>
    </w:p>
    <w:p w:rsidR="00F339E6" w:rsidRDefault="00F339E6" w:rsidP="00F339E6">
      <w:pPr>
        <w:spacing w:after="0" w:line="360" w:lineRule="auto"/>
        <w:ind w:firstLine="851"/>
        <w:jc w:val="both"/>
        <w:rPr>
          <w:rFonts w:ascii="Times New Roman" w:eastAsia="Times New Roman" w:hAnsi="Times New Roman" w:cs="Times New Roman"/>
          <w:sz w:val="24"/>
          <w:szCs w:val="24"/>
        </w:rPr>
      </w:pPr>
    </w:p>
    <w:p w:rsidR="00F339E6" w:rsidRDefault="00F339E6" w:rsidP="00F339E6">
      <w:pPr>
        <w:spacing w:after="0" w:line="360" w:lineRule="auto"/>
        <w:ind w:firstLine="851"/>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La Observación General número 4 tiene dicho que “[…] </w:t>
      </w:r>
      <w:r>
        <w:rPr>
          <w:rFonts w:ascii="Times New Roman" w:eastAsia="Times New Roman" w:hAnsi="Times New Roman" w:cs="Times New Roman"/>
          <w:i/>
          <w:sz w:val="24"/>
          <w:szCs w:val="24"/>
        </w:rPr>
        <w:t xml:space="preserve">Los Estados partes deben establecer mecanismos de denuncia y recursos legales independientes, eficaces, accesibles, transparentes, seguros y aplicables en los casos de violaciones del derecho a la educación. Las personas con discapacidad deben tener acceso a unos sistemas de justicia que entiendan la manera de integrarlas y sean capaces de hacer frente a las denuncias por motivos de la discapacidad” </w:t>
      </w:r>
      <w:r>
        <w:rPr>
          <w:rFonts w:ascii="Times New Roman" w:eastAsia="Times New Roman" w:hAnsi="Times New Roman" w:cs="Times New Roman"/>
          <w:sz w:val="24"/>
          <w:szCs w:val="24"/>
        </w:rPr>
        <w:t>(conforme acápite 65).</w:t>
      </w:r>
    </w:p>
    <w:p w:rsidR="00F339E6" w:rsidRDefault="00F339E6" w:rsidP="00F339E6">
      <w:pPr>
        <w:spacing w:after="0" w:line="360" w:lineRule="auto"/>
        <w:ind w:firstLine="851"/>
        <w:jc w:val="both"/>
        <w:rPr>
          <w:rFonts w:ascii="Times New Roman" w:eastAsia="Times New Roman" w:hAnsi="Times New Roman" w:cs="Times New Roman"/>
          <w:sz w:val="24"/>
          <w:szCs w:val="24"/>
        </w:rPr>
      </w:pPr>
    </w:p>
    <w:p w:rsidR="00F339E6" w:rsidRDefault="00F339E6" w:rsidP="00F339E6">
      <w:pPr>
        <w:spacing w:after="0" w:line="360" w:lineRule="auto"/>
        <w:ind w:firstLine="851"/>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La Observación General 5 indica que </w:t>
      </w:r>
      <w:r>
        <w:rPr>
          <w:rFonts w:ascii="Times New Roman" w:eastAsia="Times New Roman" w:hAnsi="Times New Roman" w:cs="Times New Roman"/>
          <w:i/>
          <w:sz w:val="24"/>
          <w:szCs w:val="24"/>
        </w:rPr>
        <w:t>“[…] La obligación de dar efectividad requiere que los Estados promuevan, faciliten y ofrezcan las medidas legislativas, administrativas, presupuestarias, judiciales, programáticas, promocionales y de otro tipo que proceda para garantizar la plena efectividad del derecho a vivir de forma independiente y a ser incluido en la comunidad consagrado en la Convención. También exige que los Estados partes adopten medidas para eliminar las barreras de carácter práctico que se oponen a la plena efectividad de ese derecho, como las viviendas inaccesibles, el acceso limitado a servicios de apoyo para personas con discapacidad, las instalaciones, bienes y servicios comunitarios inaccesibles y los prejuicios contra dichas personas”  y agrega que “[…]Los Estados partes deben garantizar el acceso a la justicia y proporcionar asistencia letrada y asesoramiento, recursos y apoyo jurídicos apropiados, entre otras formas mediante ajustes razonables y de procedimiento, a las personas con discapacidad que deseen hacer valer su derecho a vivir de forma independiente en la comunidad” (conforme acápite 54 y 66) .</w:t>
      </w:r>
    </w:p>
    <w:p w:rsidR="00F339E6" w:rsidRDefault="00F339E6" w:rsidP="00F339E6">
      <w:pPr>
        <w:spacing w:after="0" w:line="360" w:lineRule="auto"/>
        <w:ind w:firstLine="851"/>
        <w:jc w:val="both"/>
        <w:rPr>
          <w:rFonts w:ascii="Times New Roman" w:eastAsia="Times New Roman" w:hAnsi="Times New Roman" w:cs="Times New Roman"/>
          <w:i/>
          <w:sz w:val="24"/>
          <w:szCs w:val="24"/>
        </w:rPr>
      </w:pPr>
    </w:p>
    <w:p w:rsidR="00F339E6" w:rsidRDefault="00F339E6" w:rsidP="00F339E6">
      <w:pPr>
        <w:spacing w:after="0" w:line="36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Por último en la Observación General número 6 se establece que “[…] </w:t>
      </w:r>
      <w:r>
        <w:rPr>
          <w:rFonts w:ascii="Times New Roman" w:eastAsia="Times New Roman" w:hAnsi="Times New Roman" w:cs="Times New Roman"/>
          <w:i/>
          <w:sz w:val="24"/>
          <w:szCs w:val="24"/>
        </w:rPr>
        <w:t xml:space="preserve">Esta interpretación de los términos “igualdad ante la ley” e “igualdad en virtud de la ley” está en consonancia con el artículo 4, párrafo 1 b) y c), de la Convención, según el cual los Estados partes deben velar por que las autoridades e instituciones públicas actúen conforme a lo dispuesto en la Convención; se modifiquen o deroguen las leyes, los reglamentos, las costumbres y las prácticas existentes que constituyan discriminación contra las personas con discapacidad; y se tengan en cuenta, en todas las políticas y todos los programas, la protección y promoción de los derechos de las personas con discapacidad” a su vez  dispone  que “[…] los Estados partes deben eliminar las </w:t>
      </w:r>
      <w:r>
        <w:rPr>
          <w:rFonts w:ascii="Times New Roman" w:eastAsia="Times New Roman" w:hAnsi="Times New Roman" w:cs="Times New Roman"/>
          <w:i/>
          <w:sz w:val="24"/>
          <w:szCs w:val="24"/>
        </w:rPr>
        <w:lastRenderedPageBreak/>
        <w:t xml:space="preserve">barreras que obstaculizan el acceso a todos los tipos de protección de la ley y a los beneficios de la igualdad de acceso a la ley y la justicia para hacer valer sus derechos” y agrega que “[…]Los derechos y las obligaciones en materia de igualdad y no discriminación indicados en el artículo 5 suscitan una consideración especial con respecto al artículo 13 que, entre otras cosas, exige ajustes de procedimiento y adecuados a la edad. Estos ajustes difieren de los ajustes razonables en que no están limitados por la desproporcionalidad. Un ejemplo de ajustes procesales es el reconocimiento de los distintos métodos de comunicación de las personas con discapacidad en los juzgados y tribunales. Los ajustes adecuados a la edad pueden consistir en divulgar información sobre los mecanismos disponibles para presentar denuncias y acceder a la justicia utilizando un lenguaje sencillo y adecuado a la edad.” </w:t>
      </w:r>
      <w:r>
        <w:rPr>
          <w:rFonts w:ascii="Times New Roman" w:eastAsia="Times New Roman" w:hAnsi="Times New Roman" w:cs="Times New Roman"/>
          <w:sz w:val="24"/>
          <w:szCs w:val="24"/>
        </w:rPr>
        <w:t>(conforme acápite 15, 16 y 51).</w:t>
      </w:r>
    </w:p>
    <w:p w:rsidR="00F339E6" w:rsidRDefault="00F339E6" w:rsidP="00F339E6">
      <w:pPr>
        <w:spacing w:after="0" w:line="360" w:lineRule="auto"/>
        <w:ind w:firstLine="851"/>
        <w:jc w:val="both"/>
        <w:rPr>
          <w:rFonts w:ascii="Times New Roman" w:eastAsia="Times New Roman" w:hAnsi="Times New Roman" w:cs="Times New Roman"/>
          <w:sz w:val="24"/>
          <w:szCs w:val="24"/>
        </w:rPr>
      </w:pPr>
    </w:p>
    <w:p w:rsidR="00F339E6" w:rsidRDefault="00F339E6" w:rsidP="00F339E6">
      <w:pPr>
        <w:spacing w:after="0" w:line="360" w:lineRule="auto"/>
        <w:ind w:firstLine="851"/>
        <w:jc w:val="both"/>
        <w:rPr>
          <w:rFonts w:ascii="Times New Roman" w:eastAsia="Times New Roman" w:hAnsi="Times New Roman" w:cs="Times New Roman"/>
          <w:i/>
          <w:sz w:val="24"/>
          <w:szCs w:val="24"/>
        </w:rPr>
      </w:pPr>
      <w:bookmarkStart w:id="0" w:name="_gjdgxs" w:colFirst="0" w:colLast="0"/>
      <w:bookmarkEnd w:id="0"/>
      <w:r>
        <w:rPr>
          <w:rFonts w:ascii="Times New Roman" w:eastAsia="Times New Roman" w:hAnsi="Times New Roman" w:cs="Times New Roman"/>
          <w:sz w:val="24"/>
          <w:szCs w:val="24"/>
        </w:rPr>
        <w:t>Por todo lo expuesto solicito la sanción de esta iniciativa.</w:t>
      </w:r>
    </w:p>
    <w:p w:rsidR="005E3C49" w:rsidRPr="00E5658D" w:rsidRDefault="005E3C49" w:rsidP="00E5658D"/>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3131" w:rsidRDefault="001B3131">
      <w:r>
        <w:separator/>
      </w:r>
    </w:p>
  </w:endnote>
  <w:endnote w:type="continuationSeparator" w:id="1">
    <w:p w:rsidR="001B3131" w:rsidRDefault="001B313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776507" w:rsidRPr="00776507">
        <w:rPr>
          <w:noProof/>
          <w:color w:val="333333"/>
          <w:sz w:val="20"/>
        </w:rPr>
        <w:t>06/07/2022 14:38:00</w:t>
      </w:r>
    </w:fldSimple>
    <w:r w:rsidRPr="001C19C4">
      <w:rPr>
        <w:color w:val="333333"/>
        <w:sz w:val="20"/>
      </w:rPr>
      <w:t xml:space="preserve">  -  Cantidad de caracteres: </w:t>
    </w:r>
    <w:fldSimple w:instr=" NUMCHARS  \* MERGEFORMAT ">
      <w:r w:rsidR="00776507" w:rsidRPr="00776507">
        <w:rPr>
          <w:noProof/>
          <w:color w:val="333333"/>
          <w:sz w:val="20"/>
        </w:rPr>
        <w:t>10681</w:t>
      </w:r>
    </w:fldSimple>
    <w:r w:rsidRPr="001C19C4">
      <w:rPr>
        <w:color w:val="333333"/>
        <w:sz w:val="20"/>
      </w:rPr>
      <w:t xml:space="preserve"> - Cantidad de palabras: </w:t>
    </w:r>
    <w:fldSimple w:instr=" NUMWORDS  \* MERGEFORMAT ">
      <w:r w:rsidR="00776507" w:rsidRPr="00776507">
        <w:rPr>
          <w:noProof/>
          <w:color w:val="333333"/>
          <w:sz w:val="20"/>
        </w:rPr>
        <w:t>1924</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766AA3" w:rsidRPr="001C19C4">
      <w:rPr>
        <w:rStyle w:val="Nmerodepgina"/>
        <w:color w:val="333333"/>
      </w:rPr>
      <w:fldChar w:fldCharType="begin"/>
    </w:r>
    <w:r w:rsidRPr="001C19C4">
      <w:rPr>
        <w:rStyle w:val="Nmerodepgina"/>
        <w:color w:val="333333"/>
      </w:rPr>
      <w:instrText xml:space="preserve"> PAGE </w:instrText>
    </w:r>
    <w:r w:rsidR="00766AA3" w:rsidRPr="001C19C4">
      <w:rPr>
        <w:rStyle w:val="Nmerodepgina"/>
        <w:color w:val="333333"/>
      </w:rPr>
      <w:fldChar w:fldCharType="separate"/>
    </w:r>
    <w:r w:rsidR="00776507">
      <w:rPr>
        <w:rStyle w:val="Nmerodepgina"/>
        <w:noProof/>
        <w:color w:val="333333"/>
      </w:rPr>
      <w:t>2</w:t>
    </w:r>
    <w:r w:rsidR="00766AA3" w:rsidRPr="001C19C4">
      <w:rPr>
        <w:rStyle w:val="Nmerodepgina"/>
        <w:color w:val="333333"/>
      </w:rPr>
      <w:fldChar w:fldCharType="end"/>
    </w:r>
    <w:r w:rsidRPr="001C19C4">
      <w:rPr>
        <w:rStyle w:val="Nmerodepgina"/>
        <w:color w:val="333333"/>
      </w:rPr>
      <w:t>/</w:t>
    </w:r>
    <w:fldSimple w:instr=" NUMPAGES  \* MERGEFORMAT ">
      <w:r w:rsidR="00776507" w:rsidRPr="00776507">
        <w:rPr>
          <w:rStyle w:val="Nmerodepgina"/>
          <w:noProof/>
          <w:color w:val="333333"/>
        </w:rPr>
        <w:t>6</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3131" w:rsidRDefault="001B3131">
      <w:r>
        <w:separator/>
      </w:r>
    </w:p>
  </w:footnote>
  <w:footnote w:type="continuationSeparator" w:id="1">
    <w:p w:rsidR="001B3131" w:rsidRDefault="001B313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5362"/>
  </w:hdrShapeDefaults>
  <w:footnotePr>
    <w:footnote w:id="0"/>
    <w:footnote w:id="1"/>
  </w:footnotePr>
  <w:endnotePr>
    <w:endnote w:id="0"/>
    <w:endnote w:id="1"/>
  </w:endnotePr>
  <w:compat/>
  <w:rsids>
    <w:rsidRoot w:val="00BD11C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A384B"/>
    <w:rsid w:val="001B3131"/>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66AA3"/>
    <w:rsid w:val="00771B54"/>
    <w:rsid w:val="007728C1"/>
    <w:rsid w:val="00776507"/>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3FC1"/>
    <w:rsid w:val="008C4AC3"/>
    <w:rsid w:val="00906685"/>
    <w:rsid w:val="00910E0F"/>
    <w:rsid w:val="0091690E"/>
    <w:rsid w:val="00947238"/>
    <w:rsid w:val="009624FC"/>
    <w:rsid w:val="0096461D"/>
    <w:rsid w:val="009953AF"/>
    <w:rsid w:val="00996E34"/>
    <w:rsid w:val="009A6109"/>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D11C8"/>
    <w:rsid w:val="00BF2B7B"/>
    <w:rsid w:val="00BF71C2"/>
    <w:rsid w:val="00C26F53"/>
    <w:rsid w:val="00C330CB"/>
    <w:rsid w:val="00C3675D"/>
    <w:rsid w:val="00C419C1"/>
    <w:rsid w:val="00C474E7"/>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B5D5B"/>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339E6"/>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39E6"/>
    <w:pPr>
      <w:spacing w:after="160" w:line="259" w:lineRule="auto"/>
    </w:pPr>
    <w:rPr>
      <w:rFonts w:ascii="Calibri" w:eastAsia="Calibri" w:hAnsi="Calibri" w:cs="Calibri"/>
      <w:sz w:val="22"/>
      <w:szCs w:val="22"/>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balbi\Download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0</TotalTime>
  <Pages>6</Pages>
  <Words>1924</Words>
  <Characters>10681</Characters>
  <Application>Microsoft Office Word</Application>
  <DocSecurity>0</DocSecurity>
  <Lines>200</Lines>
  <Paragraphs>23</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12610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pacerruti</dc:creator>
  <cp:lastModifiedBy>mebalbi</cp:lastModifiedBy>
  <cp:revision>2</cp:revision>
  <cp:lastPrinted>2020-02-28T17:24:00Z</cp:lastPrinted>
  <dcterms:created xsi:type="dcterms:W3CDTF">2022-07-06T18:27:00Z</dcterms:created>
  <dcterms:modified xsi:type="dcterms:W3CDTF">2022-07-06T18:27:00Z</dcterms:modified>
</cp:coreProperties>
</file>