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36C" w:rsidRDefault="0091636C" w:rsidP="0091636C">
      <w:pPr>
        <w:pStyle w:val="Normal1"/>
        <w:spacing w:before="240" w:after="240"/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PROYECTO DE DECLARACIÓN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202122"/>
          <w:sz w:val="24"/>
          <w:szCs w:val="24"/>
        </w:rPr>
      </w:pPr>
      <w:r>
        <w:rPr>
          <w:color w:val="202122"/>
          <w:sz w:val="24"/>
          <w:szCs w:val="24"/>
        </w:rPr>
        <w:t xml:space="preserve">Declárese personalidad destacada de la Ciudad Autónoma de Buenos Aires en el ámbito de la Cultura al empresario, filántropo, coleccionista y fundador del Museo de Arte Latinoamericano de Buenos Aires Eduardo </w:t>
      </w:r>
      <w:proofErr w:type="spellStart"/>
      <w:r>
        <w:rPr>
          <w:color w:val="202122"/>
          <w:sz w:val="24"/>
          <w:szCs w:val="24"/>
        </w:rPr>
        <w:t>Costantini</w:t>
      </w:r>
      <w:proofErr w:type="spellEnd"/>
      <w:r>
        <w:rPr>
          <w:color w:val="202122"/>
          <w:sz w:val="24"/>
          <w:szCs w:val="24"/>
        </w:rPr>
        <w:t xml:space="preserve">. </w:t>
      </w:r>
    </w:p>
    <w:p w:rsidR="0091636C" w:rsidRDefault="0091636C" w:rsidP="0091636C">
      <w:pPr>
        <w:spacing w:before="240" w:after="240" w:line="276" w:lineRule="auto"/>
        <w:rPr>
          <w:rFonts w:ascii="Arial" w:eastAsia="Arial" w:hAnsi="Arial" w:cs="Arial"/>
          <w:color w:val="202122"/>
          <w:szCs w:val="24"/>
        </w:rPr>
      </w:pPr>
      <w:r>
        <w:rPr>
          <w:color w:val="202122"/>
          <w:szCs w:val="24"/>
        </w:rPr>
        <w:br w:type="page"/>
      </w:r>
    </w:p>
    <w:p w:rsidR="0091636C" w:rsidRDefault="0091636C" w:rsidP="0091636C">
      <w:pPr>
        <w:pStyle w:val="Normal1"/>
        <w:spacing w:before="240" w:after="240"/>
        <w:jc w:val="both"/>
        <w:rPr>
          <w:color w:val="202122"/>
          <w:sz w:val="24"/>
          <w:szCs w:val="24"/>
        </w:rPr>
      </w:pPr>
      <w:r>
        <w:rPr>
          <w:b/>
          <w:color w:val="202122"/>
          <w:sz w:val="24"/>
          <w:szCs w:val="24"/>
        </w:rPr>
        <w:lastRenderedPageBreak/>
        <w:t>FUNDAMENTOS</w:t>
      </w:r>
    </w:p>
    <w:p w:rsidR="0091636C" w:rsidRDefault="0091636C" w:rsidP="0091636C">
      <w:pPr>
        <w:pStyle w:val="Normal1"/>
        <w:spacing w:before="240" w:after="240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Sr. Presidente: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Eduardo Francisco </w:t>
      </w:r>
      <w:proofErr w:type="spellStart"/>
      <w:r>
        <w:rPr>
          <w:color w:val="111111"/>
          <w:sz w:val="24"/>
          <w:szCs w:val="24"/>
        </w:rPr>
        <w:t>Costantini</w:t>
      </w:r>
      <w:proofErr w:type="spellEnd"/>
      <w:r>
        <w:rPr>
          <w:color w:val="111111"/>
          <w:sz w:val="24"/>
          <w:szCs w:val="24"/>
        </w:rPr>
        <w:t xml:space="preserve"> nació en Buenos Aires en 1946, se licenció en Economía en la Universidad Católica Argentina y obtuvo en 1975 el título de Máster en Economía Cuantitativa de la Universidad de East </w:t>
      </w:r>
      <w:proofErr w:type="spellStart"/>
      <w:r>
        <w:rPr>
          <w:color w:val="111111"/>
          <w:sz w:val="24"/>
          <w:szCs w:val="24"/>
        </w:rPr>
        <w:t>Anglia</w:t>
      </w:r>
      <w:proofErr w:type="spellEnd"/>
      <w:r>
        <w:rPr>
          <w:color w:val="111111"/>
          <w:sz w:val="24"/>
          <w:szCs w:val="24"/>
        </w:rPr>
        <w:t xml:space="preserve"> en Norwich, Inglaterra.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  <w:shd w:val="clear" w:color="auto" w:fill="F9F9F9"/>
        </w:rPr>
      </w:pPr>
      <w:r>
        <w:rPr>
          <w:color w:val="111111"/>
          <w:sz w:val="24"/>
          <w:szCs w:val="24"/>
          <w:shd w:val="clear" w:color="auto" w:fill="F9F9F9"/>
        </w:rPr>
        <w:t xml:space="preserve">Durante la década del 1970 comenzó su carrera profesional orientada al mercado financiero, alcanzando la dirección en empresas como </w:t>
      </w:r>
      <w:proofErr w:type="spellStart"/>
      <w:r>
        <w:rPr>
          <w:color w:val="111111"/>
          <w:sz w:val="24"/>
          <w:szCs w:val="24"/>
          <w:shd w:val="clear" w:color="auto" w:fill="F9F9F9"/>
        </w:rPr>
        <w:t>Penta</w:t>
      </w:r>
      <w:proofErr w:type="spellEnd"/>
      <w:r>
        <w:rPr>
          <w:color w:val="111111"/>
          <w:sz w:val="24"/>
          <w:szCs w:val="24"/>
          <w:shd w:val="clear" w:color="auto" w:fill="F9F9F9"/>
        </w:rPr>
        <w:t xml:space="preserve"> S.A., Huancayo S.A. y </w:t>
      </w:r>
      <w:proofErr w:type="spellStart"/>
      <w:r>
        <w:rPr>
          <w:color w:val="111111"/>
          <w:sz w:val="24"/>
          <w:szCs w:val="24"/>
          <w:shd w:val="clear" w:color="auto" w:fill="F9F9F9"/>
        </w:rPr>
        <w:t>Consultatio</w:t>
      </w:r>
      <w:proofErr w:type="spellEnd"/>
      <w:r>
        <w:rPr>
          <w:color w:val="111111"/>
          <w:sz w:val="24"/>
          <w:szCs w:val="24"/>
          <w:shd w:val="clear" w:color="auto" w:fill="F9F9F9"/>
        </w:rPr>
        <w:t xml:space="preserve"> Bursátil S.A. En 1981 </w:t>
      </w:r>
      <w:r>
        <w:rPr>
          <w:color w:val="111111"/>
          <w:sz w:val="24"/>
          <w:szCs w:val="24"/>
        </w:rPr>
        <w:t xml:space="preserve">fundó </w:t>
      </w:r>
      <w:proofErr w:type="spellStart"/>
      <w:r>
        <w:rPr>
          <w:i/>
          <w:color w:val="111111"/>
          <w:sz w:val="24"/>
          <w:szCs w:val="24"/>
          <w:shd w:val="clear" w:color="auto" w:fill="F9F9F9"/>
        </w:rPr>
        <w:t>Consultatio</w:t>
      </w:r>
      <w:proofErr w:type="spellEnd"/>
      <w:r>
        <w:rPr>
          <w:i/>
          <w:color w:val="111111"/>
          <w:sz w:val="24"/>
          <w:szCs w:val="24"/>
          <w:shd w:val="clear" w:color="auto" w:fill="F9F9F9"/>
        </w:rPr>
        <w:t xml:space="preserve"> </w:t>
      </w:r>
      <w:proofErr w:type="spellStart"/>
      <w:r>
        <w:rPr>
          <w:i/>
          <w:color w:val="111111"/>
          <w:sz w:val="24"/>
          <w:szCs w:val="24"/>
          <w:shd w:val="clear" w:color="auto" w:fill="F9F9F9"/>
        </w:rPr>
        <w:t>Asset</w:t>
      </w:r>
      <w:proofErr w:type="spellEnd"/>
      <w:r>
        <w:rPr>
          <w:i/>
          <w:color w:val="111111"/>
          <w:sz w:val="24"/>
          <w:szCs w:val="24"/>
          <w:shd w:val="clear" w:color="auto" w:fill="F9F9F9"/>
        </w:rPr>
        <w:t xml:space="preserve"> Management</w:t>
      </w:r>
      <w:r>
        <w:rPr>
          <w:color w:val="111111"/>
          <w:sz w:val="24"/>
          <w:szCs w:val="24"/>
          <w:shd w:val="clear" w:color="auto" w:fill="F9F9F9"/>
        </w:rPr>
        <w:t>, empresa dedicada a la administración de fondos comunes de inversión focalizada específicamente en Latinoamérica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  <w:shd w:val="clear" w:color="auto" w:fill="F9F9F9"/>
        </w:rPr>
        <w:t xml:space="preserve">Entre 1991 y 1993 asumió la vicepresidencia del Banco Francés del Río de la Plata, mientras que también formó </w:t>
      </w:r>
      <w:proofErr w:type="spellStart"/>
      <w:r>
        <w:rPr>
          <w:i/>
          <w:color w:val="111111"/>
          <w:sz w:val="24"/>
          <w:szCs w:val="24"/>
        </w:rPr>
        <w:t>Consultatio</w:t>
      </w:r>
      <w:proofErr w:type="spellEnd"/>
      <w:r>
        <w:rPr>
          <w:i/>
          <w:color w:val="111111"/>
          <w:sz w:val="24"/>
          <w:szCs w:val="24"/>
        </w:rPr>
        <w:t xml:space="preserve"> Real Estate</w:t>
      </w:r>
      <w:r>
        <w:rPr>
          <w:color w:val="111111"/>
          <w:sz w:val="24"/>
          <w:szCs w:val="24"/>
        </w:rPr>
        <w:t>, empresa líder en materia de administración de fondos de inversión y desarrollo de emprendimientos inmobiliarios innovadores y de gran escala en Argentina, Uruguay y Estados Unidos.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Más allá de su prominente éxito en la actividad empresarial, desde su juventud fue interpelado por el arte latinoamericano, lo que lo impulsó a adquirir piezas de artistas de todo el continente. 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Ese profundo vínculo comenzó a los 23 años cuando, según él mismo ha señalado en distintas oportunidades, observó un cuadro de Antonio Berni en una galería cercana a su casa que no pudo obtener. En su lugar se llevó dos obras maravillosas, una de Leopoldo Presas y la otra de Luis Barragán, que serían el puntapié inicial de una búsqueda que mantiene hasta el día de hoy, y que con el paso del tiempo ha devenido una colección única. 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Luego de esa primera adquisición e inicialmente asesorado por Ricardo Esteves -quien según explica en diversas entrevistas </w:t>
      </w:r>
      <w:r w:rsidRPr="006D6698">
        <w:rPr>
          <w:i/>
          <w:iCs/>
          <w:color w:val="111111"/>
          <w:sz w:val="24"/>
          <w:szCs w:val="24"/>
        </w:rPr>
        <w:t>“llegó a ser mi gran amigo y me enseñ</w:t>
      </w:r>
      <w:r>
        <w:rPr>
          <w:i/>
          <w:iCs/>
          <w:color w:val="111111"/>
          <w:sz w:val="24"/>
          <w:szCs w:val="24"/>
        </w:rPr>
        <w:t>ó</w:t>
      </w:r>
      <w:r w:rsidRPr="006D6698">
        <w:rPr>
          <w:i/>
          <w:iCs/>
          <w:color w:val="111111"/>
          <w:sz w:val="24"/>
          <w:szCs w:val="24"/>
        </w:rPr>
        <w:t xml:space="preserve"> a coleccionar”-</w:t>
      </w:r>
      <w:r>
        <w:rPr>
          <w:color w:val="111111"/>
          <w:sz w:val="24"/>
          <w:szCs w:val="24"/>
        </w:rPr>
        <w:t xml:space="preserve">, fue interesándose en pinturas de cada vez mayor jerarquía de Argentina y Uruguay, expandiéndose luego a autores del resto de América Latina. 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Volcado decididamente a la filantropía, en 1995 creó la Fundación Eduardo F. </w:t>
      </w:r>
      <w:proofErr w:type="spellStart"/>
      <w:r>
        <w:rPr>
          <w:color w:val="111111"/>
          <w:sz w:val="24"/>
          <w:szCs w:val="24"/>
        </w:rPr>
        <w:t>Costantini</w:t>
      </w:r>
      <w:proofErr w:type="spellEnd"/>
      <w:r>
        <w:rPr>
          <w:color w:val="111111"/>
          <w:sz w:val="24"/>
          <w:szCs w:val="24"/>
        </w:rPr>
        <w:t>, a través de la cual promovió la construcción del Museo de Arte Latinoamericano de Buenos Aires (MALBA).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Para su inauguración</w:t>
      </w:r>
      <w:r w:rsidRPr="007F281D">
        <w:rPr>
          <w:color w:val="111111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 xml:space="preserve">en 2001 donó alrededor de doscientas veintiséis obras de artistas latinoamericanos icónicos, entre las que se incluyen algunas emblemáticas como </w:t>
      </w:r>
      <w:r w:rsidRPr="00143EC0">
        <w:rPr>
          <w:i/>
          <w:iCs/>
          <w:color w:val="111111"/>
          <w:sz w:val="24"/>
          <w:szCs w:val="24"/>
        </w:rPr>
        <w:t>“Autorretrato con chango y loro”</w:t>
      </w:r>
      <w:r>
        <w:rPr>
          <w:color w:val="111111"/>
          <w:sz w:val="24"/>
          <w:szCs w:val="24"/>
        </w:rPr>
        <w:t xml:space="preserve"> de Frida Kahlo, </w:t>
      </w:r>
      <w:r w:rsidRPr="00143EC0">
        <w:rPr>
          <w:i/>
          <w:iCs/>
          <w:color w:val="111111"/>
          <w:sz w:val="24"/>
          <w:szCs w:val="24"/>
        </w:rPr>
        <w:t>“Manifestación”</w:t>
      </w:r>
      <w:r>
        <w:rPr>
          <w:color w:val="111111"/>
          <w:sz w:val="24"/>
          <w:szCs w:val="24"/>
        </w:rPr>
        <w:t xml:space="preserve"> de Antonio Berni, </w:t>
      </w:r>
      <w:r w:rsidRPr="00143EC0">
        <w:rPr>
          <w:i/>
          <w:iCs/>
          <w:color w:val="111111"/>
          <w:sz w:val="24"/>
          <w:szCs w:val="24"/>
        </w:rPr>
        <w:t>“Retrato de Ramón Gómez de la Serna”</w:t>
      </w:r>
      <w:r>
        <w:rPr>
          <w:color w:val="111111"/>
          <w:sz w:val="24"/>
          <w:szCs w:val="24"/>
        </w:rPr>
        <w:t xml:space="preserve"> de Diego Rivera, </w:t>
      </w:r>
      <w:r w:rsidRPr="00143EC0">
        <w:rPr>
          <w:i/>
          <w:iCs/>
          <w:color w:val="111111"/>
          <w:sz w:val="24"/>
          <w:szCs w:val="24"/>
        </w:rPr>
        <w:t>“El viudo</w:t>
      </w:r>
      <w:r>
        <w:rPr>
          <w:color w:val="111111"/>
          <w:sz w:val="24"/>
          <w:szCs w:val="24"/>
        </w:rPr>
        <w:t xml:space="preserve">” de Fernando Botero, </w:t>
      </w:r>
      <w:r w:rsidRPr="00143EC0">
        <w:rPr>
          <w:i/>
          <w:iCs/>
          <w:color w:val="111111"/>
          <w:sz w:val="24"/>
          <w:szCs w:val="24"/>
        </w:rPr>
        <w:t>“Ícono”</w:t>
      </w:r>
      <w:r>
        <w:rPr>
          <w:color w:val="111111"/>
          <w:sz w:val="24"/>
          <w:szCs w:val="24"/>
        </w:rPr>
        <w:t xml:space="preserve"> de Remedios Varo, </w:t>
      </w:r>
      <w:r w:rsidRPr="00143EC0">
        <w:rPr>
          <w:i/>
          <w:iCs/>
          <w:color w:val="111111"/>
          <w:sz w:val="24"/>
          <w:szCs w:val="24"/>
        </w:rPr>
        <w:t>“</w:t>
      </w:r>
      <w:proofErr w:type="spellStart"/>
      <w:r w:rsidRPr="00143EC0">
        <w:rPr>
          <w:i/>
          <w:iCs/>
          <w:color w:val="111111"/>
          <w:sz w:val="24"/>
          <w:szCs w:val="24"/>
        </w:rPr>
        <w:t>Abaporú</w:t>
      </w:r>
      <w:proofErr w:type="spellEnd"/>
      <w:r w:rsidRPr="00143EC0">
        <w:rPr>
          <w:i/>
          <w:iCs/>
          <w:color w:val="111111"/>
          <w:sz w:val="24"/>
          <w:szCs w:val="24"/>
        </w:rPr>
        <w:t>”</w:t>
      </w:r>
      <w:r>
        <w:rPr>
          <w:color w:val="111111"/>
          <w:sz w:val="24"/>
          <w:szCs w:val="24"/>
        </w:rPr>
        <w:t xml:space="preserve"> de </w:t>
      </w:r>
      <w:proofErr w:type="spellStart"/>
      <w:r>
        <w:rPr>
          <w:color w:val="111111"/>
          <w:sz w:val="24"/>
          <w:szCs w:val="24"/>
        </w:rPr>
        <w:t>Tarsialia</w:t>
      </w:r>
      <w:proofErr w:type="spellEnd"/>
      <w:r>
        <w:rPr>
          <w:color w:val="111111"/>
          <w:sz w:val="24"/>
          <w:szCs w:val="24"/>
        </w:rPr>
        <w:t xml:space="preserve"> do Amaral -que el mismo señala como la pieza más destacada de la colección- o la </w:t>
      </w:r>
      <w:r w:rsidRPr="00143EC0">
        <w:rPr>
          <w:i/>
          <w:iCs/>
          <w:color w:val="111111"/>
          <w:sz w:val="24"/>
          <w:szCs w:val="24"/>
        </w:rPr>
        <w:t>“Canción del Pueblo”</w:t>
      </w:r>
      <w:r>
        <w:rPr>
          <w:color w:val="111111"/>
          <w:sz w:val="24"/>
          <w:szCs w:val="24"/>
        </w:rPr>
        <w:t xml:space="preserve"> de </w:t>
      </w:r>
      <w:proofErr w:type="spellStart"/>
      <w:r>
        <w:rPr>
          <w:color w:val="111111"/>
          <w:sz w:val="24"/>
          <w:szCs w:val="24"/>
        </w:rPr>
        <w:t>Pettoruti</w:t>
      </w:r>
      <w:proofErr w:type="spellEnd"/>
      <w:r>
        <w:rPr>
          <w:color w:val="111111"/>
          <w:sz w:val="24"/>
          <w:szCs w:val="24"/>
        </w:rPr>
        <w:t>, entre otras.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Construido a partir de un diseño arquitectónico vanguardista, el MALBA exhibe actualmente una muestra permanente que tiene más de setecientas obras de importantes artistas modernos y contemporáneos de la región. A lo largo del tiempo ha </w:t>
      </w:r>
      <w:r>
        <w:rPr>
          <w:color w:val="111111"/>
          <w:sz w:val="24"/>
          <w:szCs w:val="24"/>
        </w:rPr>
        <w:lastRenderedPageBreak/>
        <w:t>sido un espacio en constante evolución, que se nutre de la interacción entre su público y las imponentes piezas que expone.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Transcurridos más de 20 años desde su apertura, su preponderancia lo ha transformado en una referencia internacional y en una institución fundamental para la vida artística de la Ciudad. Como </w:t>
      </w:r>
      <w:proofErr w:type="spellStart"/>
      <w:r>
        <w:rPr>
          <w:color w:val="111111"/>
          <w:sz w:val="24"/>
          <w:szCs w:val="24"/>
        </w:rPr>
        <w:t>Costantini</w:t>
      </w:r>
      <w:proofErr w:type="spellEnd"/>
      <w:r>
        <w:rPr>
          <w:color w:val="111111"/>
          <w:sz w:val="24"/>
          <w:szCs w:val="24"/>
        </w:rPr>
        <w:t xml:space="preserve"> ha definido, devino en un lugar que acoge ya no a sus obras, sino que ofrece un hogar para esos artistas latinoamericanos que lograron expresar con absoluta emotividad su percepción de las bellezas, las tristezas, las injusticias, las desigualdades o simplemente los hechos que percibían en el mundo que los rodeaba. </w:t>
      </w:r>
    </w:p>
    <w:p w:rsidR="0091636C" w:rsidRPr="007A2268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No obstante, el rol del MALBA como parte de la usina cultural porteña va mucho más allá de su impactante colección permanente, en tanto que cuenta con la programación y desarrollo de exposiciones temporarias, programas de cine, literatura, diversas publicaciones y una importante labor educativa.</w:t>
      </w:r>
      <w:r>
        <w:rPr>
          <w:color w:val="111111"/>
          <w:sz w:val="24"/>
          <w:szCs w:val="24"/>
          <w:shd w:val="clear" w:color="auto" w:fill="F9F9F9"/>
        </w:rPr>
        <w:tab/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  <w:shd w:val="clear" w:color="auto" w:fill="F9F9F9"/>
        </w:rPr>
      </w:pPr>
      <w:r>
        <w:rPr>
          <w:color w:val="111111"/>
          <w:sz w:val="24"/>
          <w:szCs w:val="24"/>
          <w:shd w:val="clear" w:color="auto" w:fill="F9F9F9"/>
        </w:rPr>
        <w:t xml:space="preserve">Tanto es así que en 2019, previo a la pandemia, logró posicionarse como el segundo museo más concurrido de Argentina con más de quinientas mil visitas, superando al Cabildo, a la Casa Histórica de Tucumán y al Museo de Arte Moderno, mientras que en diversas ocasiones fue incluido por </w:t>
      </w:r>
      <w:r w:rsidRPr="001D7DA2">
        <w:rPr>
          <w:color w:val="111111"/>
          <w:sz w:val="24"/>
          <w:szCs w:val="24"/>
          <w:shd w:val="clear" w:color="auto" w:fill="F9F9F9"/>
        </w:rPr>
        <w:t xml:space="preserve">usuarios de la web </w:t>
      </w:r>
      <w:proofErr w:type="spellStart"/>
      <w:r w:rsidRPr="001D7DA2">
        <w:rPr>
          <w:color w:val="111111"/>
          <w:sz w:val="24"/>
          <w:szCs w:val="24"/>
          <w:shd w:val="clear" w:color="auto" w:fill="F9F9F9"/>
        </w:rPr>
        <w:t>Trip</w:t>
      </w:r>
      <w:proofErr w:type="spellEnd"/>
      <w:r w:rsidRPr="001D7DA2">
        <w:rPr>
          <w:color w:val="111111"/>
          <w:sz w:val="24"/>
          <w:szCs w:val="24"/>
          <w:shd w:val="clear" w:color="auto" w:fill="F9F9F9"/>
        </w:rPr>
        <w:t xml:space="preserve"> </w:t>
      </w:r>
      <w:proofErr w:type="spellStart"/>
      <w:r w:rsidRPr="001D7DA2">
        <w:rPr>
          <w:color w:val="111111"/>
          <w:sz w:val="24"/>
          <w:szCs w:val="24"/>
          <w:shd w:val="clear" w:color="auto" w:fill="F9F9F9"/>
        </w:rPr>
        <w:t>Advisor</w:t>
      </w:r>
      <w:proofErr w:type="spellEnd"/>
      <w:r w:rsidRPr="001D7DA2">
        <w:rPr>
          <w:color w:val="111111"/>
          <w:sz w:val="24"/>
          <w:szCs w:val="24"/>
          <w:shd w:val="clear" w:color="auto" w:fill="F9F9F9"/>
        </w:rPr>
        <w:t xml:space="preserve"> como uno de los veinticinco museos más populares del mundo.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Como especialista consolidado del gran circuito del arte latinoamericano, Eduardo </w:t>
      </w:r>
      <w:proofErr w:type="spellStart"/>
      <w:r>
        <w:rPr>
          <w:color w:val="111111"/>
          <w:sz w:val="24"/>
          <w:szCs w:val="24"/>
        </w:rPr>
        <w:t>Costantini</w:t>
      </w:r>
      <w:proofErr w:type="spellEnd"/>
      <w:r>
        <w:rPr>
          <w:color w:val="111111"/>
          <w:sz w:val="24"/>
          <w:szCs w:val="24"/>
        </w:rPr>
        <w:t xml:space="preserve"> ha participado activamente como miembro del Consejo del Presidente del Museo de Arte Moderno de Nueva York, del Comité Asesor del David Rockefeller Center de Estudios Latinoamericanos de Harvard y ha formado parte del Global </w:t>
      </w:r>
      <w:proofErr w:type="spellStart"/>
      <w:r>
        <w:rPr>
          <w:color w:val="111111"/>
          <w:sz w:val="24"/>
          <w:szCs w:val="24"/>
        </w:rPr>
        <w:t>Philantropist</w:t>
      </w:r>
      <w:proofErr w:type="spellEnd"/>
      <w:r>
        <w:rPr>
          <w:color w:val="111111"/>
          <w:sz w:val="24"/>
          <w:szCs w:val="24"/>
        </w:rPr>
        <w:t xml:space="preserve"> </w:t>
      </w:r>
      <w:proofErr w:type="spellStart"/>
      <w:r>
        <w:rPr>
          <w:color w:val="111111"/>
          <w:sz w:val="24"/>
          <w:szCs w:val="24"/>
        </w:rPr>
        <w:t>Circle</w:t>
      </w:r>
      <w:proofErr w:type="spellEnd"/>
      <w:r>
        <w:rPr>
          <w:color w:val="111111"/>
          <w:sz w:val="24"/>
          <w:szCs w:val="24"/>
        </w:rPr>
        <w:t xml:space="preserve"> del Instituto </w:t>
      </w:r>
      <w:proofErr w:type="spellStart"/>
      <w:r>
        <w:rPr>
          <w:color w:val="111111"/>
          <w:sz w:val="24"/>
          <w:szCs w:val="24"/>
        </w:rPr>
        <w:t>Synergos</w:t>
      </w:r>
      <w:proofErr w:type="spellEnd"/>
      <w:r>
        <w:rPr>
          <w:color w:val="111111"/>
          <w:sz w:val="24"/>
          <w:szCs w:val="24"/>
        </w:rPr>
        <w:t>, de Nueva York.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Además, su trayectoria en este rubro ha sido reconocida mediante la entrega de distintos premios y galardones como la Orden de Río Branco que otorga el Gobierno de Brasil en el grado de Comendador por su contribución con la difusión de la cultura brasileña en 2011 y</w:t>
      </w:r>
      <w:r w:rsidRPr="00AF652F">
        <w:rPr>
          <w:color w:val="111111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 xml:space="preserve">el Premio “A” al Coleccionismo de la Fundación ARCO en 2017, mientras que esta Legislatura ha declarado de interés cultural reiteradas muestras efectuadas en los salones del MALBA.  </w:t>
      </w:r>
    </w:p>
    <w:p w:rsidR="0091636C" w:rsidRDefault="0091636C" w:rsidP="0091636C">
      <w:pPr>
        <w:pStyle w:val="Normal1"/>
        <w:spacing w:before="240" w:after="240"/>
        <w:ind w:firstLine="709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Entendemos que es preciso reconocer y valorar el peso que tiene la decisión de </w:t>
      </w:r>
      <w:proofErr w:type="spellStart"/>
      <w:r>
        <w:rPr>
          <w:color w:val="111111"/>
          <w:sz w:val="24"/>
          <w:szCs w:val="24"/>
        </w:rPr>
        <w:t>Costantini</w:t>
      </w:r>
      <w:proofErr w:type="spellEnd"/>
      <w:r>
        <w:rPr>
          <w:color w:val="111111"/>
          <w:sz w:val="24"/>
          <w:szCs w:val="24"/>
        </w:rPr>
        <w:t xml:space="preserve"> para constituir e institucionalizar un espacio de encuentro para las obras y el público general, abierto a que cualquiera que se encuentre en la Ciudad de Buenos Aires pueda recorrer sus muestras y actividades, en lugar de coleccionar para disfrute particular o de unas pocas personas, como ocurre con una enorme cantidad de piezas de los más reconocidos artistas del mundo. </w:t>
      </w:r>
    </w:p>
    <w:p w:rsidR="0091636C" w:rsidRDefault="0091636C" w:rsidP="0091636C">
      <w:pPr>
        <w:pStyle w:val="Normal1"/>
        <w:spacing w:before="240" w:after="240"/>
        <w:ind w:firstLine="709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No solo ha puesto al arte latinoamericano en el radar del planeta entero, a partir de la adquisición, preservación y el préstamo de obras para su exhibición en diversos espacios o eventos institucionales, sino que además, ha conformado una posta ineludible del circuito cultural de la Ciudad Autónoma de Buenos Aires. 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A partir de su gran contribución en este ámbito puede apreciarse como, si bien el impulso y la protección de las actividades culturales autóctonas y regionales requieren inexorablemente la implementación de políticas públicas directas por cargo del Estado en </w:t>
      </w:r>
      <w:r>
        <w:rPr>
          <w:color w:val="111111"/>
          <w:sz w:val="24"/>
          <w:szCs w:val="24"/>
        </w:rPr>
        <w:lastRenderedPageBreak/>
        <w:t xml:space="preserve">sus distintos niveles, el esfuerzo de mecenas, filántropos y otros actores del sector privado también constituye un rol fundamental para su salvaguarda y conservación.  </w:t>
      </w:r>
    </w:p>
    <w:p w:rsidR="0091636C" w:rsidRDefault="0091636C" w:rsidP="0091636C">
      <w:pPr>
        <w:pStyle w:val="Normal1"/>
        <w:spacing w:before="240" w:after="240"/>
        <w:ind w:firstLine="708"/>
        <w:jc w:val="both"/>
        <w:rPr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 xml:space="preserve">Es en virtud de esa destacada labor en pos de la promoción del arte latinoamericano, así como de su aporte decisivo para su preservación y divulgación en nuestro distrito, que solicitamos la aprobación de la presente declaración. </w:t>
      </w:r>
    </w:p>
    <w:p w:rsidR="00DD444E" w:rsidRPr="0091636C" w:rsidRDefault="00DD444E" w:rsidP="0091636C">
      <w:pPr>
        <w:rPr>
          <w:szCs w:val="24"/>
        </w:rPr>
      </w:pPr>
    </w:p>
    <w:sectPr w:rsidR="00DD444E" w:rsidRPr="0091636C" w:rsidSect="00F342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2977" w:right="851" w:bottom="1418" w:left="1843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DC6" w:rsidRDefault="00CA1DC6">
      <w:r>
        <w:separator/>
      </w:r>
    </w:p>
  </w:endnote>
  <w:endnote w:type="continuationSeparator" w:id="0">
    <w:p w:rsidR="00CA1DC6" w:rsidRDefault="00CA1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6C" w:rsidRDefault="0091636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1636C" w:rsidRPr="0091636C">
        <w:rPr>
          <w:noProof/>
          <w:color w:val="333333"/>
          <w:sz w:val="20"/>
        </w:rPr>
        <w:t>26/05/2022 14:27:00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1636C" w:rsidRPr="0091636C">
        <w:rPr>
          <w:noProof/>
          <w:color w:val="333333"/>
          <w:sz w:val="20"/>
        </w:rPr>
        <w:t>5599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1636C" w:rsidRPr="0091636C">
        <w:rPr>
          <w:noProof/>
          <w:color w:val="333333"/>
          <w:sz w:val="20"/>
        </w:rPr>
        <w:t>1048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750D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750D2" w:rsidRPr="001C19C4">
      <w:rPr>
        <w:rStyle w:val="Nmerodepgina"/>
        <w:color w:val="333333"/>
      </w:rPr>
      <w:fldChar w:fldCharType="separate"/>
    </w:r>
    <w:r w:rsidR="0091636C">
      <w:rPr>
        <w:rStyle w:val="Nmerodepgina"/>
        <w:noProof/>
        <w:color w:val="333333"/>
      </w:rPr>
      <w:t>3</w:t>
    </w:r>
    <w:r w:rsidR="00B750D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1636C" w:rsidRPr="0091636C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6C" w:rsidRDefault="0091636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DC6" w:rsidRDefault="00CA1DC6">
      <w:r>
        <w:separator/>
      </w:r>
    </w:p>
  </w:footnote>
  <w:footnote w:type="continuationSeparator" w:id="0">
    <w:p w:rsidR="00CA1DC6" w:rsidRDefault="00CA1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6C" w:rsidRDefault="0091636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6C" w:rsidRDefault="0091636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FB4F49"/>
    <w:rsid w:val="00004D8A"/>
    <w:rsid w:val="00023D79"/>
    <w:rsid w:val="00026430"/>
    <w:rsid w:val="000277EA"/>
    <w:rsid w:val="00030DF5"/>
    <w:rsid w:val="00031143"/>
    <w:rsid w:val="0003615C"/>
    <w:rsid w:val="00036C07"/>
    <w:rsid w:val="000376AB"/>
    <w:rsid w:val="00041FC0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6C54"/>
    <w:rsid w:val="000E3949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5C7C"/>
    <w:rsid w:val="00160A2A"/>
    <w:rsid w:val="001614A7"/>
    <w:rsid w:val="001671B1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4BA2"/>
    <w:rsid w:val="00246DF0"/>
    <w:rsid w:val="0026220D"/>
    <w:rsid w:val="00265972"/>
    <w:rsid w:val="00275865"/>
    <w:rsid w:val="00276A7E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25A8"/>
    <w:rsid w:val="003D4000"/>
    <w:rsid w:val="003F1EFD"/>
    <w:rsid w:val="003F4249"/>
    <w:rsid w:val="00401C75"/>
    <w:rsid w:val="0040761B"/>
    <w:rsid w:val="00422C3F"/>
    <w:rsid w:val="004354AC"/>
    <w:rsid w:val="00446E1A"/>
    <w:rsid w:val="0045623D"/>
    <w:rsid w:val="00457596"/>
    <w:rsid w:val="004847CA"/>
    <w:rsid w:val="004A0ABA"/>
    <w:rsid w:val="004A5FAF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22C71"/>
    <w:rsid w:val="005241CE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76F"/>
    <w:rsid w:val="005B6538"/>
    <w:rsid w:val="005C37AB"/>
    <w:rsid w:val="005C44C9"/>
    <w:rsid w:val="005D0FF5"/>
    <w:rsid w:val="005E3C49"/>
    <w:rsid w:val="005F212D"/>
    <w:rsid w:val="005F35E2"/>
    <w:rsid w:val="00601A75"/>
    <w:rsid w:val="00616F70"/>
    <w:rsid w:val="00622DE5"/>
    <w:rsid w:val="00630E6E"/>
    <w:rsid w:val="006339C7"/>
    <w:rsid w:val="00636BE0"/>
    <w:rsid w:val="0064363E"/>
    <w:rsid w:val="00646F1F"/>
    <w:rsid w:val="00652BEE"/>
    <w:rsid w:val="00657EE2"/>
    <w:rsid w:val="006739D4"/>
    <w:rsid w:val="00676CD4"/>
    <w:rsid w:val="006811D6"/>
    <w:rsid w:val="00690392"/>
    <w:rsid w:val="00697F98"/>
    <w:rsid w:val="006A4667"/>
    <w:rsid w:val="006C326A"/>
    <w:rsid w:val="006C40E9"/>
    <w:rsid w:val="006D3303"/>
    <w:rsid w:val="006D5CB7"/>
    <w:rsid w:val="006E3675"/>
    <w:rsid w:val="006E6296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75E"/>
    <w:rsid w:val="00795E19"/>
    <w:rsid w:val="007A0232"/>
    <w:rsid w:val="007B0FD7"/>
    <w:rsid w:val="007B3715"/>
    <w:rsid w:val="007B6DE7"/>
    <w:rsid w:val="007C0373"/>
    <w:rsid w:val="007C0CF9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6333F"/>
    <w:rsid w:val="00870A2D"/>
    <w:rsid w:val="0087433C"/>
    <w:rsid w:val="008829F2"/>
    <w:rsid w:val="008844BF"/>
    <w:rsid w:val="0088546A"/>
    <w:rsid w:val="00890C59"/>
    <w:rsid w:val="00890E2F"/>
    <w:rsid w:val="0089106A"/>
    <w:rsid w:val="008938E5"/>
    <w:rsid w:val="008A072B"/>
    <w:rsid w:val="008B4536"/>
    <w:rsid w:val="008C2994"/>
    <w:rsid w:val="008C4AC3"/>
    <w:rsid w:val="00906685"/>
    <w:rsid w:val="00910E0F"/>
    <w:rsid w:val="0091636C"/>
    <w:rsid w:val="0091690E"/>
    <w:rsid w:val="0093063C"/>
    <w:rsid w:val="00947238"/>
    <w:rsid w:val="009575B2"/>
    <w:rsid w:val="009624FC"/>
    <w:rsid w:val="0096461D"/>
    <w:rsid w:val="00972B10"/>
    <w:rsid w:val="009953AF"/>
    <w:rsid w:val="00996E34"/>
    <w:rsid w:val="009A36FF"/>
    <w:rsid w:val="009A6E2B"/>
    <w:rsid w:val="009B4FAC"/>
    <w:rsid w:val="009C159C"/>
    <w:rsid w:val="009C20D3"/>
    <w:rsid w:val="009E5835"/>
    <w:rsid w:val="009F4E01"/>
    <w:rsid w:val="009F7873"/>
    <w:rsid w:val="00A0271E"/>
    <w:rsid w:val="00A06A2B"/>
    <w:rsid w:val="00A07090"/>
    <w:rsid w:val="00A11AD7"/>
    <w:rsid w:val="00A1286B"/>
    <w:rsid w:val="00A240CA"/>
    <w:rsid w:val="00A37C1D"/>
    <w:rsid w:val="00A40D86"/>
    <w:rsid w:val="00A414E9"/>
    <w:rsid w:val="00A43208"/>
    <w:rsid w:val="00A47920"/>
    <w:rsid w:val="00A502EF"/>
    <w:rsid w:val="00A55E61"/>
    <w:rsid w:val="00A66804"/>
    <w:rsid w:val="00A70FF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52B"/>
    <w:rsid w:val="00B05649"/>
    <w:rsid w:val="00B1723C"/>
    <w:rsid w:val="00B177FE"/>
    <w:rsid w:val="00B20F89"/>
    <w:rsid w:val="00B21B29"/>
    <w:rsid w:val="00B264C1"/>
    <w:rsid w:val="00B31B65"/>
    <w:rsid w:val="00B32F6E"/>
    <w:rsid w:val="00B36178"/>
    <w:rsid w:val="00B4532F"/>
    <w:rsid w:val="00B46232"/>
    <w:rsid w:val="00B73B33"/>
    <w:rsid w:val="00B750D2"/>
    <w:rsid w:val="00B85EE2"/>
    <w:rsid w:val="00BE2A41"/>
    <w:rsid w:val="00BF2B7B"/>
    <w:rsid w:val="00BF71C2"/>
    <w:rsid w:val="00C26F53"/>
    <w:rsid w:val="00C330CB"/>
    <w:rsid w:val="00C354FD"/>
    <w:rsid w:val="00C3675D"/>
    <w:rsid w:val="00C419C1"/>
    <w:rsid w:val="00C51E49"/>
    <w:rsid w:val="00C521F9"/>
    <w:rsid w:val="00C63351"/>
    <w:rsid w:val="00C71253"/>
    <w:rsid w:val="00C734F9"/>
    <w:rsid w:val="00C819C2"/>
    <w:rsid w:val="00C85999"/>
    <w:rsid w:val="00C87365"/>
    <w:rsid w:val="00C93FF6"/>
    <w:rsid w:val="00CA1DC6"/>
    <w:rsid w:val="00CC20B0"/>
    <w:rsid w:val="00CE163F"/>
    <w:rsid w:val="00CE1834"/>
    <w:rsid w:val="00CE4A5E"/>
    <w:rsid w:val="00D21279"/>
    <w:rsid w:val="00D43AA2"/>
    <w:rsid w:val="00D44608"/>
    <w:rsid w:val="00D518DB"/>
    <w:rsid w:val="00D55ECB"/>
    <w:rsid w:val="00D67721"/>
    <w:rsid w:val="00D758CE"/>
    <w:rsid w:val="00D76A86"/>
    <w:rsid w:val="00D87150"/>
    <w:rsid w:val="00D91F88"/>
    <w:rsid w:val="00D927D4"/>
    <w:rsid w:val="00DD2795"/>
    <w:rsid w:val="00DD444E"/>
    <w:rsid w:val="00DD4DE2"/>
    <w:rsid w:val="00DD520D"/>
    <w:rsid w:val="00DF0164"/>
    <w:rsid w:val="00DF14A9"/>
    <w:rsid w:val="00DF54AA"/>
    <w:rsid w:val="00E07D33"/>
    <w:rsid w:val="00E11A9F"/>
    <w:rsid w:val="00E12909"/>
    <w:rsid w:val="00E12DDE"/>
    <w:rsid w:val="00E143B6"/>
    <w:rsid w:val="00E30CFF"/>
    <w:rsid w:val="00E34E73"/>
    <w:rsid w:val="00E43F9E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3421D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5D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0">
    <w:name w:val="normal"/>
    <w:rsid w:val="00DD444E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Normal1">
    <w:name w:val="Normal1"/>
    <w:rsid w:val="0091636C"/>
    <w:pPr>
      <w:spacing w:line="276" w:lineRule="auto"/>
    </w:pPr>
    <w:rPr>
      <w:rFonts w:ascii="Arial" w:eastAsia="Arial" w:hAnsi="Arial" w:cs="Arial"/>
      <w:sz w:val="22"/>
      <w:szCs w:val="2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D5D79-EA8E-4A9B-90D1-B3E5F4E63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1048</Words>
  <Characters>5599</Characters>
  <Application>Microsoft Office Word</Application>
  <DocSecurity>0</DocSecurity>
  <Lines>92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jabica</cp:lastModifiedBy>
  <cp:revision>2</cp:revision>
  <cp:lastPrinted>2020-06-17T18:12:00Z</cp:lastPrinted>
  <dcterms:created xsi:type="dcterms:W3CDTF">2022-08-05T12:55:00Z</dcterms:created>
  <dcterms:modified xsi:type="dcterms:W3CDTF">2022-08-05T12:55:00Z</dcterms:modified>
</cp:coreProperties>
</file>