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267" w:rsidRPr="00764963" w:rsidRDefault="00593267" w:rsidP="00593267">
      <w:pPr>
        <w:ind w:left="708" w:hanging="708"/>
        <w:rPr>
          <w:rFonts w:ascii="Arial" w:hAnsi="Arial" w:cs="Arial"/>
          <w:b/>
          <w:szCs w:val="24"/>
          <w:lang w:val="es-MX"/>
        </w:rPr>
      </w:pPr>
      <w:r w:rsidRPr="00764963">
        <w:rPr>
          <w:rFonts w:ascii="Arial" w:hAnsi="Arial" w:cs="Arial"/>
          <w:b/>
          <w:szCs w:val="24"/>
          <w:lang w:val="es-MX"/>
        </w:rPr>
        <w:t>Legislatura de la Ciudad Autónoma de Buenos Aires</w:t>
      </w:r>
    </w:p>
    <w:p w:rsidR="00593267" w:rsidRPr="00764963" w:rsidRDefault="00593267" w:rsidP="00593267">
      <w:pPr>
        <w:rPr>
          <w:rFonts w:ascii="Arial" w:hAnsi="Arial" w:cs="Arial"/>
          <w:b/>
          <w:szCs w:val="24"/>
          <w:lang w:val="es-MX"/>
        </w:rPr>
      </w:pPr>
    </w:p>
    <w:p w:rsidR="00593267" w:rsidRPr="00764963" w:rsidRDefault="00593267" w:rsidP="00593267">
      <w:pPr>
        <w:rPr>
          <w:rFonts w:ascii="Arial" w:hAnsi="Arial" w:cs="Arial"/>
          <w:b/>
          <w:szCs w:val="24"/>
          <w:lang w:val="es-MX"/>
        </w:rPr>
      </w:pPr>
      <w:r w:rsidRPr="00764963">
        <w:rPr>
          <w:rFonts w:ascii="Arial" w:hAnsi="Arial" w:cs="Arial"/>
          <w:b/>
          <w:szCs w:val="24"/>
          <w:lang w:val="es-MX"/>
        </w:rPr>
        <w:t>Visto:</w:t>
      </w:r>
    </w:p>
    <w:p w:rsidR="00593267" w:rsidRPr="00764963" w:rsidRDefault="00593267" w:rsidP="00593267">
      <w:pPr>
        <w:rPr>
          <w:rFonts w:ascii="Arial" w:hAnsi="Arial" w:cs="Arial"/>
          <w:szCs w:val="24"/>
        </w:rPr>
      </w:pPr>
    </w:p>
    <w:p w:rsidR="00593267" w:rsidRPr="00764963" w:rsidRDefault="00593267" w:rsidP="00593267">
      <w:pPr>
        <w:pStyle w:val="normal0"/>
        <w:spacing w:after="200" w:line="360" w:lineRule="auto"/>
        <w:jc w:val="both"/>
        <w:rPr>
          <w:rFonts w:eastAsia="Calibri"/>
          <w:sz w:val="24"/>
          <w:szCs w:val="24"/>
        </w:rPr>
      </w:pPr>
      <w:r w:rsidRPr="00764963">
        <w:rPr>
          <w:sz w:val="24"/>
          <w:szCs w:val="24"/>
          <w:lang w:val="es-MX"/>
        </w:rPr>
        <w:t>El expediente 1683-D-22 de autoría del Diputado Reyes, Hernán, referido a</w:t>
      </w:r>
      <w:r w:rsidRPr="00764963">
        <w:rPr>
          <w:rFonts w:eastAsia="Arial Unicode MS"/>
          <w:sz w:val="24"/>
          <w:szCs w:val="24"/>
        </w:rPr>
        <w:t xml:space="preserve"> declarar de interés para la comunicación social y </w:t>
      </w:r>
      <w:r w:rsidRPr="00764963">
        <w:rPr>
          <w:rFonts w:eastAsia="Calibri"/>
          <w:sz w:val="24"/>
          <w:szCs w:val="24"/>
        </w:rPr>
        <w:t>para la promoción de los derechos humanos de la Ciudad Autónoma de Buenos Aires el libro “Malvinas: Identidad de Héroes”, escrito por el periodista Daniel Santa Cruz.</w:t>
      </w:r>
    </w:p>
    <w:p w:rsidR="00593267" w:rsidRPr="00764963" w:rsidRDefault="00593267" w:rsidP="00593267">
      <w:pPr>
        <w:shd w:val="clear" w:color="auto" w:fill="FFFFFF"/>
        <w:rPr>
          <w:rFonts w:ascii="Arial" w:hAnsi="Arial" w:cs="Arial"/>
          <w:color w:val="000000"/>
          <w:szCs w:val="24"/>
          <w:lang w:val="es-ES" w:eastAsia="en-US"/>
        </w:rPr>
      </w:pPr>
    </w:p>
    <w:p w:rsidR="00593267" w:rsidRPr="00764963" w:rsidRDefault="00593267" w:rsidP="00593267">
      <w:pPr>
        <w:shd w:val="clear" w:color="auto" w:fill="FFFFFF"/>
        <w:rPr>
          <w:rFonts w:ascii="Arial" w:eastAsia="Arial Unicode MS" w:hAnsi="Arial" w:cs="Arial"/>
          <w:szCs w:val="24"/>
        </w:rPr>
      </w:pPr>
    </w:p>
    <w:p w:rsidR="00593267" w:rsidRPr="00764963" w:rsidRDefault="00593267" w:rsidP="00593267">
      <w:pPr>
        <w:rPr>
          <w:rFonts w:ascii="Arial" w:hAnsi="Arial" w:cs="Arial"/>
          <w:b/>
          <w:szCs w:val="24"/>
          <w:lang w:val="es-MX"/>
        </w:rPr>
      </w:pPr>
      <w:r w:rsidRPr="00764963">
        <w:rPr>
          <w:rFonts w:ascii="Arial" w:hAnsi="Arial" w:cs="Arial"/>
          <w:b/>
          <w:szCs w:val="24"/>
          <w:lang w:val="es-MX"/>
        </w:rPr>
        <w:t>Considerando:</w:t>
      </w:r>
    </w:p>
    <w:p w:rsidR="005E3C49" w:rsidRPr="00764963" w:rsidRDefault="005E3C49" w:rsidP="00E5658D">
      <w:pPr>
        <w:rPr>
          <w:rFonts w:ascii="Arial" w:hAnsi="Arial" w:cs="Arial"/>
          <w:szCs w:val="24"/>
        </w:rPr>
      </w:pPr>
    </w:p>
    <w:p w:rsidR="00593267" w:rsidRPr="00764963" w:rsidRDefault="00593267" w:rsidP="00593267">
      <w:pPr>
        <w:pStyle w:val="normal0"/>
        <w:spacing w:before="120" w:after="200" w:line="360" w:lineRule="auto"/>
        <w:jc w:val="both"/>
        <w:rPr>
          <w:rFonts w:eastAsia="Calibri"/>
          <w:sz w:val="24"/>
          <w:szCs w:val="24"/>
        </w:rPr>
      </w:pPr>
      <w:r w:rsidRPr="00764963">
        <w:rPr>
          <w:rFonts w:eastAsia="Calibri"/>
          <w:sz w:val="24"/>
          <w:szCs w:val="24"/>
        </w:rPr>
        <w:t xml:space="preserve">Que el 14 de junio de 1982 finalizaba lo que fue el conflicto armado entre Reino Unido y Argentina, por la soberanía de las Islas Malvinas. Hecho que hasta el día de hoy sigue siendo una herida para el pueblo argentino. </w:t>
      </w:r>
    </w:p>
    <w:p w:rsidR="00593267" w:rsidRPr="00764963" w:rsidRDefault="00593267" w:rsidP="00593267">
      <w:pPr>
        <w:pStyle w:val="normal0"/>
        <w:spacing w:after="200" w:line="360" w:lineRule="auto"/>
        <w:jc w:val="both"/>
        <w:rPr>
          <w:rFonts w:eastAsia="Calibri"/>
          <w:sz w:val="24"/>
          <w:szCs w:val="24"/>
        </w:rPr>
      </w:pPr>
      <w:r w:rsidRPr="00764963">
        <w:rPr>
          <w:rFonts w:eastAsia="Calibri"/>
          <w:sz w:val="24"/>
          <w:szCs w:val="24"/>
        </w:rPr>
        <w:t xml:space="preserve">Que el libro “Malvinas; Identidad de Héroes” de Daniel Santa Cruz, hace un recorrido histórico de lo que fue la exhaustiva tarea de recorrer, exhumar, identificar y sepultar los cuerpos de los 121 soldados argentinos que “solo eran conocidos por Dios”.  </w:t>
      </w:r>
    </w:p>
    <w:p w:rsidR="00593267" w:rsidRPr="00764963" w:rsidRDefault="00593267" w:rsidP="00593267">
      <w:pPr>
        <w:pStyle w:val="normal0"/>
        <w:spacing w:line="360" w:lineRule="auto"/>
        <w:jc w:val="both"/>
        <w:rPr>
          <w:rFonts w:eastAsia="Calibri"/>
          <w:sz w:val="24"/>
          <w:szCs w:val="24"/>
        </w:rPr>
      </w:pPr>
      <w:r w:rsidRPr="00764963">
        <w:rPr>
          <w:rFonts w:eastAsia="Calibri"/>
          <w:sz w:val="24"/>
          <w:szCs w:val="24"/>
        </w:rPr>
        <w:t xml:space="preserve">Que en diciembre de 1982 Geoffrey Cardozo, un ex Coronel, encomendado por el Estado Británico comenzaría con el arduo trabajo de identificación, exhumación e inhumación de los cuerpos que yacían en suelo isleño, y que nuestras autoridades estatales decidieron no atender. </w:t>
      </w:r>
    </w:p>
    <w:p w:rsidR="00593267" w:rsidRPr="00764963" w:rsidRDefault="00593267" w:rsidP="00593267">
      <w:pPr>
        <w:pStyle w:val="normal0"/>
        <w:spacing w:line="360" w:lineRule="auto"/>
        <w:jc w:val="both"/>
        <w:rPr>
          <w:rFonts w:eastAsia="Calibri"/>
          <w:sz w:val="24"/>
          <w:szCs w:val="24"/>
        </w:rPr>
      </w:pPr>
    </w:p>
    <w:p w:rsidR="00593267" w:rsidRPr="00764963" w:rsidRDefault="0068012D" w:rsidP="00593267">
      <w:pPr>
        <w:pStyle w:val="normal0"/>
        <w:spacing w:after="200" w:line="360" w:lineRule="auto"/>
        <w:jc w:val="both"/>
        <w:rPr>
          <w:rFonts w:eastAsia="Calibri"/>
          <w:sz w:val="24"/>
          <w:szCs w:val="24"/>
        </w:rPr>
      </w:pPr>
      <w:r w:rsidRPr="00764963">
        <w:rPr>
          <w:rFonts w:eastAsia="Calibri"/>
          <w:sz w:val="24"/>
          <w:szCs w:val="24"/>
        </w:rPr>
        <w:t>Que</w:t>
      </w:r>
      <w:r w:rsidR="00593267" w:rsidRPr="00764963">
        <w:rPr>
          <w:rFonts w:eastAsia="Calibri"/>
          <w:sz w:val="24"/>
          <w:szCs w:val="24"/>
        </w:rPr>
        <w:t xml:space="preserve"> Julio Aro, ex combatiente Argentino de las Islas Malvinas, oriundo de la ciudad</w:t>
      </w:r>
      <w:r w:rsidRPr="00764963">
        <w:rPr>
          <w:rFonts w:eastAsia="Calibri"/>
          <w:sz w:val="24"/>
          <w:szCs w:val="24"/>
        </w:rPr>
        <w:t xml:space="preserve"> de Mercedes, Buenos aires, </w:t>
      </w:r>
      <w:r w:rsidR="00593267" w:rsidRPr="00764963">
        <w:rPr>
          <w:rFonts w:eastAsia="Calibri"/>
          <w:sz w:val="24"/>
          <w:szCs w:val="24"/>
        </w:rPr>
        <w:t xml:space="preserve">presidente del Centro de Ex soldados Combatientes en Malvinas de Mar del Plata entre los años 1992 y 1996. </w:t>
      </w:r>
      <w:r w:rsidRPr="00764963">
        <w:rPr>
          <w:rFonts w:eastAsia="Calibri"/>
          <w:sz w:val="24"/>
          <w:szCs w:val="24"/>
        </w:rPr>
        <w:t>Graduado</w:t>
      </w:r>
      <w:r w:rsidR="00593267" w:rsidRPr="00764963">
        <w:rPr>
          <w:rFonts w:eastAsia="Calibri"/>
          <w:sz w:val="24"/>
          <w:szCs w:val="24"/>
        </w:rPr>
        <w:t xml:space="preserve"> como profesor de Educación física en el año 2000, ingresó como encargado al departamento de veteranos de guerra de IOMA. </w:t>
      </w:r>
      <w:r w:rsidRPr="00764963">
        <w:rPr>
          <w:rFonts w:eastAsia="Calibri"/>
          <w:sz w:val="24"/>
          <w:szCs w:val="24"/>
        </w:rPr>
        <w:t xml:space="preserve">En el año 2008 </w:t>
      </w:r>
      <w:r w:rsidR="00593267" w:rsidRPr="00764963">
        <w:rPr>
          <w:rFonts w:eastAsia="Calibri"/>
          <w:sz w:val="24"/>
          <w:szCs w:val="24"/>
        </w:rPr>
        <w:t>Julio decide volver a las Islas Malvinas para poder cerrar su historia personal. En su visita al cementerio</w:t>
      </w:r>
      <w:r w:rsidRPr="00764963">
        <w:rPr>
          <w:rFonts w:eastAsia="Calibri"/>
          <w:sz w:val="24"/>
          <w:szCs w:val="24"/>
        </w:rPr>
        <w:t xml:space="preserve"> Darwin</w:t>
      </w:r>
      <w:r w:rsidR="00593267" w:rsidRPr="00764963">
        <w:rPr>
          <w:rFonts w:eastAsia="Calibri"/>
          <w:sz w:val="24"/>
          <w:szCs w:val="24"/>
        </w:rPr>
        <w:t xml:space="preserve"> se sorprendió al ver que prácticamente la mitad de los s</w:t>
      </w:r>
      <w:r w:rsidRPr="00764963">
        <w:rPr>
          <w:rFonts w:eastAsia="Calibri"/>
          <w:sz w:val="24"/>
          <w:szCs w:val="24"/>
        </w:rPr>
        <w:t>oldados que yacían en ese suelo</w:t>
      </w:r>
      <w:r w:rsidR="00593267" w:rsidRPr="00764963">
        <w:rPr>
          <w:rFonts w:eastAsia="Calibri"/>
          <w:sz w:val="24"/>
          <w:szCs w:val="24"/>
        </w:rPr>
        <w:t xml:space="preserve"> no habían sido identificados. Fue entonces cuando todo cambió. </w:t>
      </w:r>
    </w:p>
    <w:p w:rsidR="00593267" w:rsidRPr="00764963" w:rsidRDefault="0068012D" w:rsidP="00593267">
      <w:pPr>
        <w:pStyle w:val="normal0"/>
        <w:spacing w:after="200" w:line="360" w:lineRule="auto"/>
        <w:jc w:val="both"/>
        <w:rPr>
          <w:rFonts w:eastAsia="Calibri"/>
          <w:sz w:val="24"/>
          <w:szCs w:val="24"/>
        </w:rPr>
      </w:pPr>
      <w:r w:rsidRPr="00764963">
        <w:rPr>
          <w:rFonts w:eastAsia="Calibri"/>
          <w:sz w:val="24"/>
          <w:szCs w:val="24"/>
        </w:rPr>
        <w:t>Que e</w:t>
      </w:r>
      <w:r w:rsidR="00593267" w:rsidRPr="00764963">
        <w:rPr>
          <w:rFonts w:eastAsia="Calibri"/>
          <w:sz w:val="24"/>
          <w:szCs w:val="24"/>
        </w:rPr>
        <w:t>se mismo año, Julio viajó a Londres a unas reuniones con ex combatientes británicos, donde también se encontraba el Coronel Geoffrey Cardozo. Julio n</w:t>
      </w:r>
      <w:r w:rsidRPr="00764963">
        <w:rPr>
          <w:rFonts w:eastAsia="Calibri"/>
          <w:sz w:val="24"/>
          <w:szCs w:val="24"/>
        </w:rPr>
        <w:t>o hablaba una palabra de inglés</w:t>
      </w:r>
      <w:r w:rsidR="00593267" w:rsidRPr="00764963">
        <w:rPr>
          <w:rFonts w:eastAsia="Calibri"/>
          <w:sz w:val="24"/>
          <w:szCs w:val="24"/>
        </w:rPr>
        <w:t xml:space="preserve"> </w:t>
      </w:r>
      <w:r w:rsidRPr="00764963">
        <w:rPr>
          <w:rFonts w:eastAsia="Calibri"/>
          <w:sz w:val="24"/>
          <w:szCs w:val="24"/>
        </w:rPr>
        <w:t xml:space="preserve">pero </w:t>
      </w:r>
      <w:r w:rsidR="00593267" w:rsidRPr="00764963">
        <w:rPr>
          <w:rFonts w:eastAsia="Calibri"/>
          <w:sz w:val="24"/>
          <w:szCs w:val="24"/>
        </w:rPr>
        <w:t>Geoffrey quien tenía</w:t>
      </w:r>
      <w:r w:rsidRPr="00764963">
        <w:rPr>
          <w:rFonts w:eastAsia="Calibri"/>
          <w:sz w:val="24"/>
          <w:szCs w:val="24"/>
        </w:rPr>
        <w:t xml:space="preserve"> un buen dominio de la lengua española </w:t>
      </w:r>
      <w:r w:rsidR="00593267" w:rsidRPr="00764963">
        <w:rPr>
          <w:rFonts w:eastAsia="Calibri"/>
          <w:sz w:val="24"/>
          <w:szCs w:val="24"/>
        </w:rPr>
        <w:t>le tradujo los diálogos a sus compañeros. Entre esos diálogos</w:t>
      </w:r>
      <w:r w:rsidRPr="00764963">
        <w:rPr>
          <w:rFonts w:eastAsia="Calibri"/>
          <w:sz w:val="24"/>
          <w:szCs w:val="24"/>
        </w:rPr>
        <w:t>, Julio</w:t>
      </w:r>
      <w:r w:rsidR="00593267" w:rsidRPr="00764963">
        <w:rPr>
          <w:rFonts w:eastAsia="Calibri"/>
          <w:sz w:val="24"/>
          <w:szCs w:val="24"/>
        </w:rPr>
        <w:t xml:space="preserve"> comentó su viaje a las islas Malvinas y las tumbas de </w:t>
      </w:r>
      <w:r w:rsidR="00593267" w:rsidRPr="00764963">
        <w:rPr>
          <w:rFonts w:eastAsia="Calibri"/>
          <w:sz w:val="24"/>
          <w:szCs w:val="24"/>
        </w:rPr>
        <w:lastRenderedPageBreak/>
        <w:t>sus compatriotas que se encontraban sin identificar, sin dudarlo, Cardozo le comento que él iba a poder ayudarlo con la identificación de los soldados. Indudablemente este sería el punto de inflexió</w:t>
      </w:r>
      <w:r w:rsidRPr="00764963">
        <w:rPr>
          <w:rFonts w:eastAsia="Calibri"/>
          <w:sz w:val="24"/>
          <w:szCs w:val="24"/>
        </w:rPr>
        <w:t>n que iba a cambiar la historia y</w:t>
      </w:r>
      <w:r w:rsidR="00593267" w:rsidRPr="00764963">
        <w:rPr>
          <w:rFonts w:eastAsia="Calibri"/>
          <w:sz w:val="24"/>
          <w:szCs w:val="24"/>
        </w:rPr>
        <w:t xml:space="preserve"> el destino de esos 121 soldados, de esas 121 familias que durante tanto tiempo esperaron que alguien les explique, les informe y les diga donde poder llorar al fin, a sus seres queridos.</w:t>
      </w:r>
    </w:p>
    <w:p w:rsidR="00593267" w:rsidRPr="00764963" w:rsidRDefault="0068012D" w:rsidP="00593267">
      <w:pPr>
        <w:pStyle w:val="normal0"/>
        <w:spacing w:line="360" w:lineRule="auto"/>
        <w:jc w:val="both"/>
        <w:rPr>
          <w:rFonts w:eastAsia="Calibri"/>
          <w:sz w:val="24"/>
          <w:szCs w:val="24"/>
        </w:rPr>
      </w:pPr>
      <w:r w:rsidRPr="00764963">
        <w:rPr>
          <w:rFonts w:eastAsia="Calibri"/>
          <w:sz w:val="24"/>
          <w:szCs w:val="24"/>
        </w:rPr>
        <w:t>Que e</w:t>
      </w:r>
      <w:r w:rsidR="00593267" w:rsidRPr="00764963">
        <w:rPr>
          <w:rFonts w:eastAsia="Calibri"/>
          <w:sz w:val="24"/>
          <w:szCs w:val="24"/>
        </w:rPr>
        <w:t xml:space="preserve">n el año 2012, con la intervención del Comité Internacional de la Cruz Roja, quien facilitó las conversaciones entre ambos Estados, logró conciliar que finalmente en diciembre del 2016 Argentina y Reino Unido firmarán un acuerdo para comenzar las tareas de identificación en las islas. Este acuerdo se lo conocerá como </w:t>
      </w:r>
      <w:r w:rsidR="00593267" w:rsidRPr="00764963">
        <w:rPr>
          <w:rFonts w:eastAsia="Calibri"/>
          <w:b/>
          <w:sz w:val="24"/>
          <w:szCs w:val="24"/>
        </w:rPr>
        <w:t>Plan Proyecto Humanitario Malvinas</w:t>
      </w:r>
      <w:r w:rsidR="00593267" w:rsidRPr="00764963">
        <w:rPr>
          <w:rFonts w:eastAsia="Calibri"/>
          <w:sz w:val="24"/>
          <w:szCs w:val="24"/>
        </w:rPr>
        <w:t xml:space="preserve"> y sería tomado como modelo de trabajo en el mundo, en torno al éxito de la negociación entre los Estados, el valor brindado al derecho internacional humanitario y el papel desempeñado por CICR (Comité Internacional de la Cruz </w:t>
      </w:r>
      <w:r w:rsidRPr="00764963">
        <w:rPr>
          <w:rFonts w:eastAsia="Calibri"/>
          <w:sz w:val="24"/>
          <w:szCs w:val="24"/>
        </w:rPr>
        <w:t xml:space="preserve">Roja). El 26 de marzo del 2018 </w:t>
      </w:r>
      <w:r w:rsidR="00593267" w:rsidRPr="00764963">
        <w:rPr>
          <w:rFonts w:eastAsia="Calibri"/>
          <w:sz w:val="24"/>
          <w:szCs w:val="24"/>
        </w:rPr>
        <w:t>se realizó un viaje a las islas realizado por los familiares de los prime</w:t>
      </w:r>
      <w:r w:rsidRPr="00764963">
        <w:rPr>
          <w:rFonts w:eastAsia="Calibri"/>
          <w:sz w:val="24"/>
          <w:szCs w:val="24"/>
        </w:rPr>
        <w:t xml:space="preserve">ros 90 soldados identificados </w:t>
      </w:r>
      <w:r w:rsidR="00593267" w:rsidRPr="00764963">
        <w:rPr>
          <w:rFonts w:eastAsia="Calibri"/>
          <w:sz w:val="24"/>
          <w:szCs w:val="24"/>
        </w:rPr>
        <w:t xml:space="preserve">cerrando así el plan acordado por Argentina y Reino Unido. </w:t>
      </w:r>
    </w:p>
    <w:p w:rsidR="0068012D" w:rsidRPr="00764963" w:rsidRDefault="0068012D" w:rsidP="00593267">
      <w:pPr>
        <w:pStyle w:val="normal0"/>
        <w:spacing w:line="360" w:lineRule="auto"/>
        <w:jc w:val="both"/>
        <w:rPr>
          <w:rFonts w:eastAsia="Calibri"/>
          <w:sz w:val="24"/>
          <w:szCs w:val="24"/>
        </w:rPr>
      </w:pPr>
    </w:p>
    <w:p w:rsidR="00593267" w:rsidRPr="00764963" w:rsidRDefault="0068012D" w:rsidP="00593267">
      <w:pPr>
        <w:pStyle w:val="normal0"/>
        <w:spacing w:line="360" w:lineRule="auto"/>
        <w:jc w:val="both"/>
        <w:rPr>
          <w:rFonts w:eastAsia="Calibri"/>
          <w:sz w:val="24"/>
          <w:szCs w:val="24"/>
        </w:rPr>
      </w:pPr>
      <w:r w:rsidRPr="00764963">
        <w:rPr>
          <w:rFonts w:eastAsia="Calibri"/>
          <w:sz w:val="24"/>
          <w:szCs w:val="24"/>
        </w:rPr>
        <w:t>Que en marzo del 2019</w:t>
      </w:r>
      <w:r w:rsidR="00593267" w:rsidRPr="00764963">
        <w:rPr>
          <w:rFonts w:eastAsia="Calibri"/>
          <w:sz w:val="24"/>
          <w:szCs w:val="24"/>
        </w:rPr>
        <w:t xml:space="preserve"> se realizó el segundo viaje de familiares al cementerio de Darwin, pero con la particularidad que esta vez después de algunos pedidos, al ser la primera vez para muchos que podían estar frente a las tumbas identificadas de sus seres queridos, autorizaron a que ese día, la bandera argentina volviera a flamear en las Islas Malvinas, como gesto de colaboración y humanismo. </w:t>
      </w:r>
    </w:p>
    <w:p w:rsidR="00593267" w:rsidRPr="00764963" w:rsidRDefault="00593267" w:rsidP="00593267">
      <w:pPr>
        <w:pStyle w:val="normal0"/>
        <w:spacing w:line="360" w:lineRule="auto"/>
        <w:jc w:val="both"/>
        <w:rPr>
          <w:rFonts w:eastAsia="Calibri"/>
          <w:sz w:val="24"/>
          <w:szCs w:val="24"/>
        </w:rPr>
      </w:pPr>
    </w:p>
    <w:p w:rsidR="00593267" w:rsidRPr="00764963" w:rsidRDefault="00764963" w:rsidP="00593267">
      <w:pPr>
        <w:pStyle w:val="normal0"/>
        <w:spacing w:before="240" w:line="360" w:lineRule="auto"/>
        <w:jc w:val="both"/>
        <w:rPr>
          <w:rFonts w:eastAsia="Calibri"/>
          <w:sz w:val="24"/>
          <w:szCs w:val="24"/>
        </w:rPr>
      </w:pPr>
      <w:r w:rsidRPr="00764963">
        <w:rPr>
          <w:rFonts w:eastAsia="Calibri"/>
          <w:sz w:val="24"/>
          <w:szCs w:val="24"/>
        </w:rPr>
        <w:t>Que h</w:t>
      </w:r>
      <w:r w:rsidR="00593267" w:rsidRPr="00764963">
        <w:rPr>
          <w:rFonts w:eastAsia="Calibri"/>
          <w:sz w:val="24"/>
          <w:szCs w:val="24"/>
        </w:rPr>
        <w:t xml:space="preserve">omenajear este libro es una síntesis de varios elementos: por un lado, el objetivo es visibilizar el trabajo de un gran periodista como Daniel Santa Cruz, por su desempeño, labor y profesionalismo no solo en la redacción y construcción de este libro, sino el tiempo dedicado a mostrar esa parte de la historia que perdimos de vista. Asimismo, destacar el esfuerzo y compañerismo de personas como Julio Aro y Geoffrey Cardozo que lucharon por </w:t>
      </w:r>
      <w:r w:rsidRPr="00764963">
        <w:rPr>
          <w:rFonts w:eastAsia="Calibri"/>
          <w:sz w:val="24"/>
          <w:szCs w:val="24"/>
        </w:rPr>
        <w:t>darles</w:t>
      </w:r>
      <w:r w:rsidR="00593267" w:rsidRPr="00764963">
        <w:rPr>
          <w:rFonts w:eastAsia="Calibri"/>
          <w:sz w:val="24"/>
          <w:szCs w:val="24"/>
        </w:rPr>
        <w:t xml:space="preserve"> identidad a nuestros soldados, quienes durante 40 años descansaron en el anonimato. </w:t>
      </w:r>
    </w:p>
    <w:p w:rsidR="00764963" w:rsidRPr="00764963" w:rsidRDefault="00764963" w:rsidP="00593267">
      <w:pPr>
        <w:pStyle w:val="normal0"/>
        <w:spacing w:before="240" w:line="360" w:lineRule="auto"/>
        <w:jc w:val="both"/>
        <w:rPr>
          <w:rFonts w:eastAsia="Calibri"/>
          <w:sz w:val="24"/>
          <w:szCs w:val="24"/>
        </w:rPr>
      </w:pPr>
    </w:p>
    <w:p w:rsidR="00764963" w:rsidRPr="00764963" w:rsidRDefault="00764963" w:rsidP="00764963">
      <w:pPr>
        <w:rPr>
          <w:rFonts w:ascii="Arial" w:hAnsi="Arial" w:cs="Arial"/>
          <w:szCs w:val="24"/>
          <w:lang w:val="es-MX"/>
        </w:rPr>
      </w:pPr>
      <w:r w:rsidRPr="00764963">
        <w:rPr>
          <w:rFonts w:ascii="Arial" w:hAnsi="Arial" w:cs="Arial"/>
          <w:szCs w:val="24"/>
          <w:lang w:val="es-MX"/>
        </w:rPr>
        <w:t xml:space="preserve">Por todo lo expuesto, esta </w:t>
      </w:r>
      <w:r w:rsidRPr="00764963">
        <w:rPr>
          <w:rFonts w:ascii="Arial" w:hAnsi="Arial" w:cs="Arial"/>
          <w:b/>
          <w:szCs w:val="24"/>
          <w:lang w:val="es-MX"/>
        </w:rPr>
        <w:t>Comisión de Comunicación Social</w:t>
      </w:r>
      <w:r w:rsidRPr="00764963">
        <w:rPr>
          <w:rFonts w:ascii="Arial" w:hAnsi="Arial" w:cs="Arial"/>
          <w:szCs w:val="24"/>
          <w:lang w:val="es-MX"/>
        </w:rPr>
        <w:t xml:space="preserve"> aconseja la aprobación de la siguiente</w:t>
      </w:r>
    </w:p>
    <w:p w:rsidR="00764963" w:rsidRPr="00764963" w:rsidRDefault="00764963" w:rsidP="00764963">
      <w:pPr>
        <w:ind w:firstLine="708"/>
        <w:rPr>
          <w:rFonts w:ascii="Arial" w:hAnsi="Arial" w:cs="Arial"/>
          <w:szCs w:val="24"/>
          <w:lang w:val="es-MX"/>
        </w:rPr>
      </w:pPr>
    </w:p>
    <w:p w:rsidR="00764963" w:rsidRPr="00764963" w:rsidRDefault="00764963" w:rsidP="00764963">
      <w:pPr>
        <w:ind w:firstLine="708"/>
        <w:rPr>
          <w:rFonts w:ascii="Arial" w:hAnsi="Arial" w:cs="Arial"/>
          <w:szCs w:val="24"/>
        </w:rPr>
      </w:pPr>
    </w:p>
    <w:p w:rsidR="00764963" w:rsidRPr="00764963" w:rsidRDefault="00764963" w:rsidP="00764963">
      <w:pPr>
        <w:jc w:val="center"/>
        <w:rPr>
          <w:rFonts w:ascii="Arial" w:hAnsi="Arial" w:cs="Arial"/>
          <w:b/>
          <w:szCs w:val="24"/>
          <w:lang w:val="es-MX"/>
        </w:rPr>
      </w:pPr>
      <w:r w:rsidRPr="00764963">
        <w:rPr>
          <w:rFonts w:ascii="Arial" w:hAnsi="Arial" w:cs="Arial"/>
          <w:b/>
          <w:szCs w:val="24"/>
          <w:lang w:val="es-MX"/>
        </w:rPr>
        <w:t>DECLARACION</w:t>
      </w:r>
    </w:p>
    <w:p w:rsidR="00764963" w:rsidRPr="00764963" w:rsidRDefault="00764963" w:rsidP="00764963">
      <w:pPr>
        <w:jc w:val="center"/>
        <w:rPr>
          <w:rFonts w:ascii="Arial" w:hAnsi="Arial" w:cs="Arial"/>
          <w:b/>
          <w:szCs w:val="24"/>
          <w:lang w:val="es-MX"/>
        </w:rPr>
      </w:pPr>
    </w:p>
    <w:p w:rsidR="00764963" w:rsidRPr="00764963" w:rsidRDefault="00764963" w:rsidP="00764963">
      <w:pPr>
        <w:rPr>
          <w:rFonts w:ascii="Arial" w:hAnsi="Arial" w:cs="Arial"/>
          <w:szCs w:val="24"/>
          <w:lang w:val="es-MX"/>
        </w:rPr>
      </w:pPr>
    </w:p>
    <w:p w:rsidR="00764963" w:rsidRPr="00764963" w:rsidRDefault="00764963" w:rsidP="00764963">
      <w:pPr>
        <w:pStyle w:val="normal0"/>
        <w:spacing w:after="200" w:line="360" w:lineRule="auto"/>
        <w:jc w:val="both"/>
        <w:rPr>
          <w:rFonts w:eastAsia="Calibri"/>
          <w:sz w:val="24"/>
          <w:szCs w:val="24"/>
        </w:rPr>
      </w:pPr>
      <w:r w:rsidRPr="00764963">
        <w:rPr>
          <w:sz w:val="24"/>
          <w:szCs w:val="24"/>
          <w:lang w:val="es-MX"/>
        </w:rPr>
        <w:t xml:space="preserve">Declárase </w:t>
      </w:r>
      <w:r w:rsidRPr="00764963">
        <w:rPr>
          <w:rFonts w:eastAsia="Arial Unicode MS"/>
          <w:sz w:val="24"/>
          <w:szCs w:val="24"/>
        </w:rPr>
        <w:t xml:space="preserve">de interés para la comunicación social y </w:t>
      </w:r>
      <w:r w:rsidRPr="00764963">
        <w:rPr>
          <w:rFonts w:eastAsia="Calibri"/>
          <w:sz w:val="24"/>
          <w:szCs w:val="24"/>
        </w:rPr>
        <w:t>para la promoción de los derechos humanos de la Ciudad Autónoma de Buenos Aires el libro “Malvinas: Identidad de Héroes”, escrito por el periodista Daniel Santa Cruz.</w:t>
      </w:r>
    </w:p>
    <w:p w:rsidR="00764963" w:rsidRPr="00764963" w:rsidRDefault="00764963" w:rsidP="00764963">
      <w:pPr>
        <w:shd w:val="clear" w:color="auto" w:fill="FFFFFF"/>
        <w:rPr>
          <w:rFonts w:ascii="Arial" w:eastAsia="Arial Unicode MS" w:hAnsi="Arial" w:cs="Arial"/>
          <w:szCs w:val="24"/>
        </w:rPr>
      </w:pPr>
    </w:p>
    <w:p w:rsidR="00764963" w:rsidRPr="00764963" w:rsidRDefault="00764963" w:rsidP="00764963">
      <w:pPr>
        <w:rPr>
          <w:rFonts w:ascii="Arial" w:hAnsi="Arial" w:cs="Arial"/>
          <w:szCs w:val="24"/>
          <w:lang w:val="es-MX"/>
        </w:rPr>
      </w:pPr>
      <w:r w:rsidRPr="00764963">
        <w:rPr>
          <w:rFonts w:ascii="Arial" w:hAnsi="Arial" w:cs="Arial"/>
          <w:szCs w:val="24"/>
          <w:lang w:val="es-MX"/>
        </w:rPr>
        <w:t xml:space="preserve">Sala de la Comisión </w:t>
      </w:r>
    </w:p>
    <w:p w:rsidR="00764963" w:rsidRPr="00764963" w:rsidRDefault="00764963" w:rsidP="00764963">
      <w:pPr>
        <w:rPr>
          <w:rFonts w:ascii="Arial" w:hAnsi="Arial" w:cs="Arial"/>
          <w:szCs w:val="24"/>
          <w:lang w:val="es-MX"/>
        </w:rPr>
      </w:pPr>
    </w:p>
    <w:p w:rsidR="00764963" w:rsidRPr="00764963" w:rsidRDefault="00764963" w:rsidP="00764963">
      <w:pPr>
        <w:rPr>
          <w:rFonts w:ascii="Arial" w:hAnsi="Arial" w:cs="Arial"/>
          <w:szCs w:val="24"/>
          <w:lang w:val="es-MX"/>
        </w:rPr>
      </w:pPr>
    </w:p>
    <w:p w:rsidR="00764963" w:rsidRPr="00764963" w:rsidRDefault="00764963" w:rsidP="00764963">
      <w:pPr>
        <w:ind w:firstLine="708"/>
        <w:rPr>
          <w:rFonts w:ascii="Arial" w:hAnsi="Arial" w:cs="Arial"/>
          <w:szCs w:val="24"/>
        </w:rPr>
      </w:pPr>
    </w:p>
    <w:p w:rsidR="00764963" w:rsidRPr="00764963" w:rsidRDefault="00764963" w:rsidP="00764963">
      <w:pPr>
        <w:rPr>
          <w:rFonts w:ascii="Arial" w:hAnsi="Arial" w:cs="Arial"/>
          <w:b/>
          <w:szCs w:val="24"/>
        </w:rPr>
      </w:pPr>
    </w:p>
    <w:p w:rsidR="00764963" w:rsidRPr="00764963" w:rsidRDefault="00764963" w:rsidP="00764963">
      <w:pPr>
        <w:jc w:val="center"/>
        <w:rPr>
          <w:rFonts w:ascii="Arial" w:hAnsi="Arial" w:cs="Arial"/>
          <w:szCs w:val="24"/>
        </w:rPr>
      </w:pPr>
      <w:r w:rsidRPr="00764963">
        <w:rPr>
          <w:rFonts w:ascii="Arial" w:hAnsi="Arial" w:cs="Arial"/>
          <w:szCs w:val="24"/>
        </w:rPr>
        <w:tab/>
      </w:r>
      <w:r w:rsidRPr="00764963">
        <w:rPr>
          <w:rFonts w:ascii="Arial" w:hAnsi="Arial" w:cs="Arial"/>
          <w:szCs w:val="24"/>
        </w:rPr>
        <w:tab/>
      </w:r>
      <w:r w:rsidRPr="00764963">
        <w:rPr>
          <w:rFonts w:ascii="Arial" w:hAnsi="Arial" w:cs="Arial"/>
          <w:szCs w:val="24"/>
        </w:rPr>
        <w:tab/>
      </w:r>
      <w:r w:rsidRPr="00764963">
        <w:rPr>
          <w:rFonts w:ascii="Arial" w:hAnsi="Arial" w:cs="Arial"/>
          <w:szCs w:val="24"/>
        </w:rPr>
        <w:tab/>
      </w:r>
      <w:r w:rsidRPr="00764963">
        <w:rPr>
          <w:rFonts w:ascii="Arial" w:hAnsi="Arial" w:cs="Arial"/>
          <w:szCs w:val="24"/>
        </w:rPr>
        <w:tab/>
      </w:r>
      <w:r w:rsidRPr="00764963">
        <w:rPr>
          <w:rFonts w:ascii="Arial" w:hAnsi="Arial" w:cs="Arial"/>
          <w:szCs w:val="24"/>
        </w:rPr>
        <w:tab/>
        <w:t>Méndez, María Sol</w:t>
      </w:r>
    </w:p>
    <w:p w:rsidR="00764963" w:rsidRPr="00764963" w:rsidRDefault="00764963" w:rsidP="00764963">
      <w:pPr>
        <w:jc w:val="center"/>
        <w:rPr>
          <w:rFonts w:ascii="Arial" w:hAnsi="Arial" w:cs="Arial"/>
          <w:szCs w:val="24"/>
        </w:rPr>
      </w:pPr>
      <w:r w:rsidRPr="00764963">
        <w:rPr>
          <w:rFonts w:ascii="Arial" w:hAnsi="Arial" w:cs="Arial"/>
          <w:szCs w:val="24"/>
        </w:rPr>
        <w:tab/>
      </w:r>
      <w:r w:rsidRPr="00764963">
        <w:rPr>
          <w:rFonts w:ascii="Arial" w:hAnsi="Arial" w:cs="Arial"/>
          <w:szCs w:val="24"/>
        </w:rPr>
        <w:tab/>
      </w:r>
      <w:r w:rsidRPr="00764963">
        <w:rPr>
          <w:rFonts w:ascii="Arial" w:hAnsi="Arial" w:cs="Arial"/>
          <w:szCs w:val="24"/>
        </w:rPr>
        <w:tab/>
      </w:r>
      <w:r w:rsidRPr="00764963">
        <w:rPr>
          <w:rFonts w:ascii="Arial" w:hAnsi="Arial" w:cs="Arial"/>
          <w:szCs w:val="24"/>
        </w:rPr>
        <w:tab/>
      </w:r>
      <w:r w:rsidRPr="00764963">
        <w:rPr>
          <w:rFonts w:ascii="Arial" w:hAnsi="Arial" w:cs="Arial"/>
          <w:szCs w:val="24"/>
        </w:rPr>
        <w:tab/>
      </w:r>
      <w:r w:rsidRPr="00764963">
        <w:rPr>
          <w:rFonts w:ascii="Arial" w:hAnsi="Arial" w:cs="Arial"/>
          <w:szCs w:val="24"/>
        </w:rPr>
        <w:tab/>
        <w:t>Presidente</w:t>
      </w:r>
    </w:p>
    <w:p w:rsidR="00764963" w:rsidRPr="00764963" w:rsidRDefault="00764963" w:rsidP="00764963">
      <w:pPr>
        <w:jc w:val="left"/>
        <w:rPr>
          <w:rFonts w:ascii="Arial" w:hAnsi="Arial" w:cs="Arial"/>
          <w:szCs w:val="24"/>
        </w:rPr>
      </w:pPr>
    </w:p>
    <w:p w:rsidR="00764963" w:rsidRPr="00764963" w:rsidRDefault="00764963" w:rsidP="00764963">
      <w:pPr>
        <w:jc w:val="left"/>
        <w:rPr>
          <w:rFonts w:ascii="Arial" w:hAnsi="Arial" w:cs="Arial"/>
          <w:szCs w:val="24"/>
        </w:rPr>
      </w:pPr>
    </w:p>
    <w:p w:rsidR="00764963" w:rsidRPr="00764963" w:rsidRDefault="00764963" w:rsidP="00764963">
      <w:pPr>
        <w:jc w:val="left"/>
        <w:rPr>
          <w:rFonts w:ascii="Arial" w:hAnsi="Arial" w:cs="Arial"/>
          <w:szCs w:val="24"/>
        </w:rPr>
      </w:pPr>
    </w:p>
    <w:p w:rsidR="00764963" w:rsidRPr="00764963" w:rsidRDefault="00764963" w:rsidP="00764963">
      <w:pPr>
        <w:jc w:val="left"/>
        <w:rPr>
          <w:rFonts w:ascii="Arial" w:hAnsi="Arial" w:cs="Arial"/>
          <w:szCs w:val="24"/>
        </w:rPr>
      </w:pPr>
    </w:p>
    <w:p w:rsidR="00764963" w:rsidRPr="00764963" w:rsidRDefault="00764963" w:rsidP="00764963">
      <w:pPr>
        <w:jc w:val="left"/>
        <w:rPr>
          <w:rFonts w:ascii="Arial" w:hAnsi="Arial" w:cs="Arial"/>
          <w:szCs w:val="24"/>
        </w:rPr>
      </w:pPr>
    </w:p>
    <w:p w:rsidR="00764963" w:rsidRPr="00764963" w:rsidRDefault="00764963" w:rsidP="00764963">
      <w:pPr>
        <w:jc w:val="left"/>
        <w:rPr>
          <w:rFonts w:ascii="Arial" w:hAnsi="Arial" w:cs="Arial"/>
          <w:szCs w:val="24"/>
        </w:rPr>
      </w:pPr>
      <w:r w:rsidRPr="00764963">
        <w:rPr>
          <w:rFonts w:ascii="Arial" w:hAnsi="Arial" w:cs="Arial"/>
          <w:szCs w:val="24"/>
        </w:rPr>
        <w:t xml:space="preserve"> Vitali, Franco                   </w:t>
      </w:r>
      <w:r w:rsidRPr="00764963">
        <w:rPr>
          <w:rFonts w:ascii="Arial" w:hAnsi="Arial" w:cs="Arial"/>
          <w:szCs w:val="24"/>
        </w:rPr>
        <w:tab/>
      </w:r>
      <w:r w:rsidRPr="00764963">
        <w:rPr>
          <w:rFonts w:ascii="Arial" w:hAnsi="Arial" w:cs="Arial"/>
          <w:szCs w:val="24"/>
        </w:rPr>
        <w:tab/>
      </w:r>
      <w:r w:rsidRPr="00764963">
        <w:rPr>
          <w:rFonts w:ascii="Arial" w:hAnsi="Arial" w:cs="Arial"/>
          <w:szCs w:val="24"/>
        </w:rPr>
        <w:tab/>
      </w:r>
      <w:r w:rsidRPr="00764963">
        <w:rPr>
          <w:rFonts w:ascii="Arial" w:hAnsi="Arial" w:cs="Arial"/>
          <w:szCs w:val="24"/>
        </w:rPr>
        <w:tab/>
        <w:t xml:space="preserve">       Guouman, Marcelo</w:t>
      </w:r>
    </w:p>
    <w:p w:rsidR="00764963" w:rsidRPr="00764963" w:rsidRDefault="00764963" w:rsidP="00764963">
      <w:pPr>
        <w:jc w:val="left"/>
        <w:rPr>
          <w:rFonts w:ascii="Arial" w:hAnsi="Arial" w:cs="Arial"/>
          <w:szCs w:val="24"/>
        </w:rPr>
      </w:pPr>
      <w:r w:rsidRPr="00764963">
        <w:rPr>
          <w:rFonts w:ascii="Arial" w:hAnsi="Arial" w:cs="Arial"/>
          <w:szCs w:val="24"/>
        </w:rPr>
        <w:t>Vicepresidente</w:t>
      </w:r>
    </w:p>
    <w:p w:rsidR="00764963" w:rsidRPr="00764963" w:rsidRDefault="00764963" w:rsidP="00764963">
      <w:pPr>
        <w:jc w:val="left"/>
        <w:rPr>
          <w:rFonts w:ascii="Arial" w:hAnsi="Arial" w:cs="Arial"/>
          <w:szCs w:val="24"/>
        </w:rPr>
      </w:pPr>
    </w:p>
    <w:p w:rsidR="00764963" w:rsidRPr="00764963" w:rsidRDefault="00764963" w:rsidP="00764963">
      <w:pPr>
        <w:jc w:val="left"/>
        <w:rPr>
          <w:rFonts w:ascii="Arial" w:hAnsi="Arial" w:cs="Arial"/>
          <w:szCs w:val="24"/>
        </w:rPr>
      </w:pPr>
    </w:p>
    <w:p w:rsidR="00764963" w:rsidRPr="00764963" w:rsidRDefault="00764963" w:rsidP="00764963">
      <w:pPr>
        <w:jc w:val="left"/>
        <w:rPr>
          <w:rFonts w:ascii="Arial" w:hAnsi="Arial" w:cs="Arial"/>
          <w:szCs w:val="24"/>
        </w:rPr>
      </w:pPr>
    </w:p>
    <w:p w:rsidR="00764963" w:rsidRPr="00764963" w:rsidRDefault="00764963" w:rsidP="00764963">
      <w:pPr>
        <w:jc w:val="left"/>
        <w:rPr>
          <w:rFonts w:ascii="Arial" w:hAnsi="Arial" w:cs="Arial"/>
          <w:szCs w:val="24"/>
        </w:rPr>
      </w:pPr>
    </w:p>
    <w:p w:rsidR="00764963" w:rsidRPr="00764963" w:rsidRDefault="00764963" w:rsidP="00764963">
      <w:pPr>
        <w:jc w:val="left"/>
        <w:rPr>
          <w:rFonts w:ascii="Arial" w:hAnsi="Arial" w:cs="Arial"/>
          <w:szCs w:val="24"/>
        </w:rPr>
      </w:pPr>
    </w:p>
    <w:p w:rsidR="00764963" w:rsidRPr="00764963" w:rsidRDefault="00764963" w:rsidP="00764963">
      <w:pPr>
        <w:jc w:val="left"/>
        <w:rPr>
          <w:rFonts w:ascii="Arial" w:hAnsi="Arial" w:cs="Arial"/>
          <w:szCs w:val="24"/>
        </w:rPr>
      </w:pPr>
      <w:r w:rsidRPr="00764963">
        <w:rPr>
          <w:rFonts w:ascii="Arial" w:hAnsi="Arial" w:cs="Arial"/>
          <w:szCs w:val="24"/>
        </w:rPr>
        <w:t>Garrido, Esteban</w:t>
      </w:r>
      <w:r w:rsidRPr="00764963">
        <w:rPr>
          <w:rFonts w:ascii="Arial" w:hAnsi="Arial" w:cs="Arial"/>
          <w:szCs w:val="24"/>
        </w:rPr>
        <w:tab/>
      </w:r>
      <w:r w:rsidRPr="00764963">
        <w:rPr>
          <w:rFonts w:ascii="Arial" w:hAnsi="Arial" w:cs="Arial"/>
          <w:szCs w:val="24"/>
        </w:rPr>
        <w:tab/>
      </w:r>
      <w:r w:rsidRPr="00764963">
        <w:rPr>
          <w:rFonts w:ascii="Arial" w:hAnsi="Arial" w:cs="Arial"/>
          <w:szCs w:val="24"/>
        </w:rPr>
        <w:tab/>
      </w:r>
      <w:r w:rsidRPr="00764963">
        <w:rPr>
          <w:rFonts w:ascii="Arial" w:hAnsi="Arial" w:cs="Arial"/>
          <w:szCs w:val="24"/>
        </w:rPr>
        <w:tab/>
      </w:r>
      <w:r w:rsidRPr="00764963">
        <w:rPr>
          <w:rFonts w:ascii="Arial" w:hAnsi="Arial" w:cs="Arial"/>
          <w:szCs w:val="24"/>
        </w:rPr>
        <w:tab/>
      </w:r>
      <w:r w:rsidRPr="00764963">
        <w:rPr>
          <w:rFonts w:ascii="Arial" w:hAnsi="Arial" w:cs="Arial"/>
          <w:szCs w:val="24"/>
        </w:rPr>
        <w:tab/>
        <w:t>Romano, Lucía</w:t>
      </w:r>
    </w:p>
    <w:p w:rsidR="00764963" w:rsidRPr="00764963" w:rsidRDefault="00764963" w:rsidP="00764963">
      <w:pPr>
        <w:jc w:val="left"/>
        <w:rPr>
          <w:rFonts w:ascii="Arial" w:hAnsi="Arial" w:cs="Arial"/>
          <w:szCs w:val="24"/>
        </w:rPr>
      </w:pPr>
    </w:p>
    <w:p w:rsidR="00764963" w:rsidRPr="00764963" w:rsidRDefault="00764963" w:rsidP="00764963">
      <w:pPr>
        <w:jc w:val="left"/>
        <w:rPr>
          <w:rFonts w:ascii="Arial" w:hAnsi="Arial" w:cs="Arial"/>
          <w:szCs w:val="24"/>
        </w:rPr>
      </w:pPr>
    </w:p>
    <w:p w:rsidR="00764963" w:rsidRPr="00764963" w:rsidRDefault="00764963" w:rsidP="00764963">
      <w:pPr>
        <w:jc w:val="left"/>
        <w:rPr>
          <w:rFonts w:ascii="Arial" w:hAnsi="Arial" w:cs="Arial"/>
          <w:szCs w:val="24"/>
        </w:rPr>
      </w:pPr>
    </w:p>
    <w:p w:rsidR="00764963" w:rsidRPr="00764963" w:rsidRDefault="00764963" w:rsidP="00764963">
      <w:pPr>
        <w:jc w:val="left"/>
        <w:rPr>
          <w:rFonts w:ascii="Arial" w:hAnsi="Arial" w:cs="Arial"/>
          <w:szCs w:val="24"/>
        </w:rPr>
      </w:pPr>
    </w:p>
    <w:p w:rsidR="00764963" w:rsidRPr="00764963" w:rsidRDefault="00764963" w:rsidP="00764963">
      <w:pPr>
        <w:jc w:val="left"/>
        <w:rPr>
          <w:rFonts w:ascii="Arial" w:hAnsi="Arial" w:cs="Arial"/>
          <w:szCs w:val="24"/>
        </w:rPr>
      </w:pPr>
    </w:p>
    <w:p w:rsidR="00764963" w:rsidRPr="00764963" w:rsidRDefault="00764963" w:rsidP="00764963">
      <w:pPr>
        <w:jc w:val="left"/>
        <w:rPr>
          <w:rFonts w:ascii="Arial" w:hAnsi="Arial" w:cs="Arial"/>
          <w:szCs w:val="24"/>
        </w:rPr>
      </w:pPr>
    </w:p>
    <w:p w:rsidR="00764963" w:rsidRPr="00764963" w:rsidRDefault="00764963" w:rsidP="00764963">
      <w:pPr>
        <w:jc w:val="left"/>
        <w:rPr>
          <w:rFonts w:ascii="Arial" w:hAnsi="Arial" w:cs="Arial"/>
          <w:szCs w:val="24"/>
        </w:rPr>
      </w:pPr>
      <w:r w:rsidRPr="00764963">
        <w:rPr>
          <w:rFonts w:ascii="Arial" w:hAnsi="Arial" w:cs="Arial"/>
          <w:szCs w:val="24"/>
        </w:rPr>
        <w:t xml:space="preserve">   Nieto, Darío</w:t>
      </w:r>
      <w:r w:rsidRPr="00764963">
        <w:rPr>
          <w:rFonts w:ascii="Arial" w:hAnsi="Arial" w:cs="Arial"/>
          <w:szCs w:val="24"/>
        </w:rPr>
        <w:tab/>
      </w:r>
      <w:r w:rsidRPr="00764963">
        <w:rPr>
          <w:rFonts w:ascii="Arial" w:hAnsi="Arial" w:cs="Arial"/>
          <w:szCs w:val="24"/>
        </w:rPr>
        <w:tab/>
      </w:r>
      <w:r w:rsidRPr="00764963">
        <w:rPr>
          <w:rFonts w:ascii="Arial" w:hAnsi="Arial" w:cs="Arial"/>
          <w:szCs w:val="24"/>
        </w:rPr>
        <w:tab/>
      </w:r>
      <w:r w:rsidRPr="00764963">
        <w:rPr>
          <w:rFonts w:ascii="Arial" w:hAnsi="Arial" w:cs="Arial"/>
          <w:szCs w:val="24"/>
        </w:rPr>
        <w:tab/>
      </w:r>
      <w:r w:rsidRPr="00764963">
        <w:rPr>
          <w:rFonts w:ascii="Arial" w:hAnsi="Arial" w:cs="Arial"/>
          <w:szCs w:val="24"/>
        </w:rPr>
        <w:tab/>
      </w:r>
      <w:r w:rsidRPr="00764963">
        <w:rPr>
          <w:rFonts w:ascii="Arial" w:hAnsi="Arial" w:cs="Arial"/>
          <w:szCs w:val="24"/>
        </w:rPr>
        <w:tab/>
        <w:t>Fleitas, Rebeca</w:t>
      </w:r>
    </w:p>
    <w:p w:rsidR="00764963" w:rsidRPr="00764963" w:rsidRDefault="00764963" w:rsidP="00593267">
      <w:pPr>
        <w:pStyle w:val="normal0"/>
        <w:spacing w:before="240" w:line="360" w:lineRule="auto"/>
        <w:jc w:val="both"/>
        <w:rPr>
          <w:rFonts w:eastAsia="Calibri"/>
          <w:sz w:val="24"/>
          <w:szCs w:val="24"/>
        </w:rPr>
      </w:pPr>
    </w:p>
    <w:p w:rsidR="00593267" w:rsidRPr="00764963" w:rsidRDefault="00593267" w:rsidP="00E5658D">
      <w:pPr>
        <w:rPr>
          <w:rFonts w:ascii="Arial" w:hAnsi="Arial" w:cs="Arial"/>
          <w:szCs w:val="24"/>
        </w:rPr>
      </w:pPr>
    </w:p>
    <w:sectPr w:rsidR="00593267" w:rsidRPr="00764963"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7954" w:rsidRDefault="00847954">
      <w:r>
        <w:separator/>
      </w:r>
    </w:p>
  </w:endnote>
  <w:endnote w:type="continuationSeparator" w:id="1">
    <w:p w:rsidR="00847954" w:rsidRDefault="008479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93267" w:rsidRPr="00593267">
        <w:rPr>
          <w:noProof/>
          <w:color w:val="333333"/>
          <w:sz w:val="20"/>
        </w:rPr>
        <w:t>00/00/0000 0:00:00</w:t>
      </w:r>
    </w:fldSimple>
    <w:r w:rsidRPr="001C19C4">
      <w:rPr>
        <w:color w:val="333333"/>
        <w:sz w:val="20"/>
      </w:rPr>
      <w:t xml:space="preserve">  -  Cantidad de caracteres: </w:t>
    </w:r>
    <w:fldSimple w:instr=" NUMCHARS  \* MERGEFORMAT ">
      <w:r w:rsidR="00593267" w:rsidRPr="00593267">
        <w:rPr>
          <w:noProof/>
          <w:color w:val="333333"/>
          <w:sz w:val="20"/>
        </w:rPr>
        <w:t>0</w:t>
      </w:r>
    </w:fldSimple>
    <w:r w:rsidRPr="001C19C4">
      <w:rPr>
        <w:color w:val="333333"/>
        <w:sz w:val="20"/>
      </w:rPr>
      <w:t xml:space="preserve"> - Cantidad de palabras: </w:t>
    </w:r>
    <w:fldSimple w:instr=" NUMWORDS  \* MERGEFORMAT ">
      <w:r w:rsidR="00593267" w:rsidRPr="00593267">
        <w:rPr>
          <w:noProof/>
          <w:color w:val="333333"/>
          <w:sz w:val="20"/>
        </w:rPr>
        <w:t>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F77CC" w:rsidRPr="001C19C4">
      <w:rPr>
        <w:rStyle w:val="Nmerodepgina"/>
        <w:color w:val="333333"/>
      </w:rPr>
      <w:fldChar w:fldCharType="begin"/>
    </w:r>
    <w:r w:rsidRPr="001C19C4">
      <w:rPr>
        <w:rStyle w:val="Nmerodepgina"/>
        <w:color w:val="333333"/>
      </w:rPr>
      <w:instrText xml:space="preserve"> PAGE </w:instrText>
    </w:r>
    <w:r w:rsidR="007F77CC" w:rsidRPr="001C19C4">
      <w:rPr>
        <w:rStyle w:val="Nmerodepgina"/>
        <w:color w:val="333333"/>
      </w:rPr>
      <w:fldChar w:fldCharType="separate"/>
    </w:r>
    <w:r w:rsidR="00764963">
      <w:rPr>
        <w:rStyle w:val="Nmerodepgina"/>
        <w:noProof/>
        <w:color w:val="333333"/>
      </w:rPr>
      <w:t>3</w:t>
    </w:r>
    <w:r w:rsidR="007F77CC" w:rsidRPr="001C19C4">
      <w:rPr>
        <w:rStyle w:val="Nmerodepgina"/>
        <w:color w:val="333333"/>
      </w:rPr>
      <w:fldChar w:fldCharType="end"/>
    </w:r>
    <w:r w:rsidRPr="001C19C4">
      <w:rPr>
        <w:rStyle w:val="Nmerodepgina"/>
        <w:color w:val="333333"/>
      </w:rPr>
      <w:t>/</w:t>
    </w:r>
    <w:fldSimple w:instr=" NUMPAGES  \* MERGEFORMAT ">
      <w:r w:rsidR="00764963" w:rsidRPr="00764963">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7954" w:rsidRDefault="00847954">
      <w:r>
        <w:separator/>
      </w:r>
    </w:p>
  </w:footnote>
  <w:footnote w:type="continuationSeparator" w:id="1">
    <w:p w:rsidR="00847954" w:rsidRDefault="008479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68012D"/>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93267"/>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012D"/>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64963"/>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77CC"/>
    <w:rsid w:val="008019FD"/>
    <w:rsid w:val="008034F8"/>
    <w:rsid w:val="00812683"/>
    <w:rsid w:val="00820A3A"/>
    <w:rsid w:val="00827228"/>
    <w:rsid w:val="008433E2"/>
    <w:rsid w:val="00846702"/>
    <w:rsid w:val="00847954"/>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267"/>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593267"/>
    <w:pPr>
      <w:spacing w:line="276" w:lineRule="auto"/>
    </w:pPr>
    <w:rPr>
      <w:rFonts w:ascii="Arial" w:eastAsia="Arial" w:hAnsi="Arial" w:cs="Arial"/>
      <w:sz w:val="22"/>
      <w:szCs w:val="22"/>
      <w:lang w:val="es-ES"/>
    </w:rPr>
  </w:style>
  <w:style w:type="paragraph" w:customStyle="1" w:styleId="Body">
    <w:name w:val="Body"/>
    <w:rsid w:val="00764963"/>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legislar.dotx</Template>
  <TotalTime>24</TotalTime>
  <Pages>3</Pages>
  <Words>742</Words>
  <Characters>4081</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usuario</cp:lastModifiedBy>
  <cp:revision>1</cp:revision>
  <cp:lastPrinted>2020-02-28T17:24:00Z</cp:lastPrinted>
  <dcterms:created xsi:type="dcterms:W3CDTF">2022-07-07T18:49:00Z</dcterms:created>
  <dcterms:modified xsi:type="dcterms:W3CDTF">2022-07-07T19:13:00Z</dcterms:modified>
</cp:coreProperties>
</file>