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FE8" w:rsidRPr="007E00E6" w:rsidRDefault="00E90FE8" w:rsidP="00E90FE8">
      <w:pPr>
        <w:ind w:left="708" w:hanging="708"/>
        <w:rPr>
          <w:rFonts w:ascii="Arial" w:hAnsi="Arial" w:cs="Arial"/>
          <w:b/>
          <w:szCs w:val="24"/>
          <w:lang w:val="es-MX"/>
        </w:rPr>
      </w:pPr>
      <w:r w:rsidRPr="007E00E6">
        <w:rPr>
          <w:rFonts w:ascii="Arial" w:hAnsi="Arial" w:cs="Arial"/>
          <w:b/>
          <w:szCs w:val="24"/>
          <w:lang w:val="es-MX"/>
        </w:rPr>
        <w:t>Legislatura de la Ciudad Autónoma de Buenos Aires</w:t>
      </w:r>
    </w:p>
    <w:p w:rsidR="00E90FE8" w:rsidRPr="007E00E6" w:rsidRDefault="00E90FE8" w:rsidP="00E90FE8">
      <w:pPr>
        <w:rPr>
          <w:rFonts w:ascii="Arial" w:hAnsi="Arial" w:cs="Arial"/>
          <w:b/>
          <w:szCs w:val="24"/>
          <w:lang w:val="es-MX"/>
        </w:rPr>
      </w:pPr>
    </w:p>
    <w:p w:rsidR="00E90FE8" w:rsidRPr="007E00E6" w:rsidRDefault="00E90FE8" w:rsidP="00E90FE8">
      <w:pPr>
        <w:rPr>
          <w:rFonts w:ascii="Arial" w:hAnsi="Arial" w:cs="Arial"/>
          <w:b/>
          <w:szCs w:val="24"/>
          <w:lang w:val="es-MX"/>
        </w:rPr>
      </w:pPr>
      <w:r w:rsidRPr="007E00E6">
        <w:rPr>
          <w:rFonts w:ascii="Arial" w:hAnsi="Arial" w:cs="Arial"/>
          <w:b/>
          <w:szCs w:val="24"/>
          <w:lang w:val="es-MX"/>
        </w:rPr>
        <w:t>Visto:</w:t>
      </w:r>
    </w:p>
    <w:p w:rsidR="00E90FE8" w:rsidRPr="007E00E6" w:rsidRDefault="00E90FE8" w:rsidP="00E90FE8">
      <w:pPr>
        <w:rPr>
          <w:rFonts w:ascii="Arial" w:hAnsi="Arial" w:cs="Arial"/>
          <w:szCs w:val="24"/>
        </w:rPr>
      </w:pPr>
    </w:p>
    <w:p w:rsidR="00E90FE8" w:rsidRPr="007E00E6" w:rsidRDefault="007E00E6" w:rsidP="00E90FE8">
      <w:pPr>
        <w:spacing w:after="200" w:line="360" w:lineRule="auto"/>
        <w:rPr>
          <w:rFonts w:ascii="Arial" w:hAnsi="Arial" w:cs="Arial"/>
          <w:szCs w:val="24"/>
          <w:lang w:val="es-AR" w:eastAsia="es-AR"/>
        </w:rPr>
      </w:pPr>
      <w:r>
        <w:rPr>
          <w:rFonts w:ascii="Arial" w:hAnsi="Arial" w:cs="Arial"/>
          <w:szCs w:val="24"/>
          <w:lang w:val="es-MX"/>
        </w:rPr>
        <w:t>El expediente 796</w:t>
      </w:r>
      <w:r w:rsidR="00E90FE8" w:rsidRPr="007E00E6">
        <w:rPr>
          <w:rFonts w:ascii="Arial" w:hAnsi="Arial" w:cs="Arial"/>
          <w:szCs w:val="24"/>
          <w:lang w:val="es-MX"/>
        </w:rPr>
        <w:t xml:space="preserve">-D-22 de autoría de la Diputada </w:t>
      </w:r>
      <w:r>
        <w:rPr>
          <w:rFonts w:ascii="Arial" w:hAnsi="Arial" w:cs="Arial"/>
          <w:szCs w:val="24"/>
          <w:lang w:val="es-MX"/>
        </w:rPr>
        <w:t>Tiesso, María Magdalena</w:t>
      </w:r>
      <w:r w:rsidR="00E90FE8" w:rsidRPr="007E00E6">
        <w:rPr>
          <w:rFonts w:ascii="Arial" w:hAnsi="Arial" w:cs="Arial"/>
          <w:szCs w:val="24"/>
          <w:lang w:val="es-MX"/>
        </w:rPr>
        <w:t>, referido a</w:t>
      </w:r>
      <w:r w:rsidR="00E90FE8" w:rsidRPr="007E00E6">
        <w:rPr>
          <w:rFonts w:ascii="Arial" w:eastAsia="Arial Unicode MS" w:hAnsi="Arial" w:cs="Arial"/>
          <w:szCs w:val="24"/>
        </w:rPr>
        <w:t xml:space="preserve"> declarar de interés para la comunicación social y cultural </w:t>
      </w:r>
      <w:r w:rsidR="00E90FE8" w:rsidRPr="007E00E6">
        <w:rPr>
          <w:rFonts w:ascii="Arial" w:hAnsi="Arial" w:cs="Arial"/>
          <w:color w:val="000000"/>
          <w:szCs w:val="24"/>
          <w:lang w:val="es-ES" w:eastAsia="en-US"/>
        </w:rPr>
        <w:t xml:space="preserve">de la Ciudad Autónoma de Buenos Aires </w:t>
      </w:r>
      <w:r w:rsidR="00E90FE8" w:rsidRPr="007E00E6">
        <w:rPr>
          <w:rFonts w:ascii="Arial" w:hAnsi="Arial" w:cs="Arial"/>
          <w:color w:val="000000"/>
          <w:szCs w:val="24"/>
          <w:lang w:val="es-AR" w:eastAsia="es-AR"/>
        </w:rPr>
        <w:t>el libro "ARA Bahía Paraíso. La historia del buque polar que fue a la guerra de Malvinas", del escritor y crítico literario Juan Terranova, publicado por Paco Ediciones.</w:t>
      </w:r>
    </w:p>
    <w:p w:rsidR="00E90FE8" w:rsidRPr="007E00E6" w:rsidRDefault="00E90FE8" w:rsidP="00E90FE8">
      <w:pPr>
        <w:shd w:val="clear" w:color="auto" w:fill="FFFFFF"/>
        <w:rPr>
          <w:rFonts w:ascii="Arial" w:hAnsi="Arial" w:cs="Arial"/>
          <w:color w:val="000000"/>
          <w:szCs w:val="24"/>
          <w:lang w:val="es-ES" w:eastAsia="en-US"/>
        </w:rPr>
      </w:pPr>
    </w:p>
    <w:p w:rsidR="00E90FE8" w:rsidRPr="007E00E6" w:rsidRDefault="00E90FE8" w:rsidP="00E90FE8">
      <w:pPr>
        <w:shd w:val="clear" w:color="auto" w:fill="FFFFFF"/>
        <w:rPr>
          <w:rFonts w:ascii="Arial" w:eastAsia="Arial Unicode MS" w:hAnsi="Arial" w:cs="Arial"/>
          <w:szCs w:val="24"/>
        </w:rPr>
      </w:pPr>
    </w:p>
    <w:p w:rsidR="00E90FE8" w:rsidRPr="007E00E6" w:rsidRDefault="00E90FE8" w:rsidP="00E90FE8">
      <w:pPr>
        <w:rPr>
          <w:rFonts w:ascii="Arial" w:hAnsi="Arial" w:cs="Arial"/>
          <w:b/>
          <w:szCs w:val="24"/>
          <w:lang w:val="es-MX"/>
        </w:rPr>
      </w:pPr>
      <w:r w:rsidRPr="007E00E6">
        <w:rPr>
          <w:rFonts w:ascii="Arial" w:hAnsi="Arial" w:cs="Arial"/>
          <w:b/>
          <w:szCs w:val="24"/>
          <w:lang w:val="es-MX"/>
        </w:rPr>
        <w:t>Considerando:</w:t>
      </w:r>
    </w:p>
    <w:p w:rsidR="005E3C49" w:rsidRPr="007E00E6" w:rsidRDefault="005E3C49" w:rsidP="00E5658D">
      <w:pPr>
        <w:rPr>
          <w:rFonts w:ascii="Arial" w:hAnsi="Arial" w:cs="Arial"/>
          <w:szCs w:val="24"/>
        </w:rPr>
      </w:pPr>
    </w:p>
    <w:p w:rsidR="00E90FE8" w:rsidRPr="007E00E6" w:rsidRDefault="00E90FE8" w:rsidP="00E90FE8">
      <w:pPr>
        <w:spacing w:after="200" w:line="360" w:lineRule="auto"/>
        <w:rPr>
          <w:rFonts w:ascii="Arial" w:hAnsi="Arial" w:cs="Arial"/>
          <w:szCs w:val="24"/>
          <w:lang w:val="es-AR" w:eastAsia="es-AR"/>
        </w:rPr>
      </w:pPr>
      <w:r w:rsidRPr="007E00E6">
        <w:rPr>
          <w:rFonts w:ascii="Arial" w:hAnsi="Arial" w:cs="Arial"/>
          <w:color w:val="000000"/>
          <w:szCs w:val="24"/>
          <w:lang w:val="es-AR" w:eastAsia="es-AR"/>
        </w:rPr>
        <w:t>Que el libro "ARA Bahía Paraíso. La historia del buque polar que fue a la guerra de Malvinas" del autor porteño Juan Terranova, editado en 2021 y reeditado en 2022 por Paco Ediciones, reconstruye la historia del buque polar Bahía Paraíso a través de la voz de más de setenta tripulantes de la nave. Diseñado y construido en el astillero argentino Príncipe y Menghi, el transporte polar ARA Bahía Paraíso B-1 se incorporó a la Armada Argentina en noviembre de 1981. Con una tripulación joven, zarpó de Buenos Aires en diciembre de ese año junto al rompehielos ARA Almirante Irízar, con el que formaban la Fuerza Naval Antártica. En marzo de 1982, mientras finalizaba su campaña antártica y, estando en las Islas Orcadas, se lo destacó a las Islas Georgias del Sur donde participó en uno de los primeros combates de la guerra.</w:t>
      </w:r>
    </w:p>
    <w:p w:rsidR="00E90FE8" w:rsidRPr="007E00E6" w:rsidRDefault="00E90FE8" w:rsidP="00E90FE8">
      <w:pPr>
        <w:spacing w:after="200" w:line="360" w:lineRule="auto"/>
        <w:rPr>
          <w:rFonts w:ascii="Arial" w:hAnsi="Arial" w:cs="Arial"/>
          <w:szCs w:val="24"/>
          <w:lang w:val="es-AR" w:eastAsia="es-AR"/>
        </w:rPr>
      </w:pPr>
      <w:r w:rsidRPr="007E00E6">
        <w:rPr>
          <w:rFonts w:ascii="Arial" w:hAnsi="Arial" w:cs="Arial"/>
          <w:color w:val="000000"/>
          <w:szCs w:val="24"/>
          <w:lang w:val="es-AR" w:eastAsia="es-AR"/>
        </w:rPr>
        <w:t>Que más tarde el ARA Bahía Paraíso fue transformado y, ya en calidad de buque hospital, rescató náufragos del crucero ARA General Belgrano. Durante la guerra, hizo viajes a las islas y brindó atención sanitaria y logística. Después de la rendición del 14 de junio, realizó dos viajes más como nave de evacuación, volviendo al puerto de Buenos Aires luego de 184 días de haber zarpado en el que era su viaje inaugural. Ismael García, su comandante, lo sintetizó de esta manera: “Operamos durante más de seis meses, navegamos 25.000 millas y, a los cien días de zarpados, abrimos nuestro diario de guerra. Así dicho parece muy simple, pero estos tres datos encierran inmensas cuotas de sacrificio, de trabajo, de voluntad, de profesionalismo, de alegrías y tristezas, de entrega total”.</w:t>
      </w:r>
    </w:p>
    <w:p w:rsidR="00E90FE8" w:rsidRPr="007E00E6" w:rsidRDefault="00E90FE8" w:rsidP="00E90FE8">
      <w:pPr>
        <w:spacing w:after="200" w:line="360" w:lineRule="auto"/>
        <w:rPr>
          <w:rFonts w:ascii="Arial" w:hAnsi="Arial" w:cs="Arial"/>
          <w:szCs w:val="24"/>
          <w:lang w:val="es-AR" w:eastAsia="es-AR"/>
        </w:rPr>
      </w:pPr>
      <w:r w:rsidRPr="007E00E6">
        <w:rPr>
          <w:rFonts w:ascii="Arial" w:hAnsi="Arial" w:cs="Arial"/>
          <w:color w:val="000000"/>
          <w:szCs w:val="24"/>
          <w:lang w:val="es-AR" w:eastAsia="es-AR"/>
        </w:rPr>
        <w:t xml:space="preserve">Que este libro constituye un aporte indispensable a la construcción y comprensión de la memoria histórica nacional en clave soberana. El estudio y comprensión de la guerra del Atlántico Sur son claves para entender el lugar de </w:t>
      </w:r>
      <w:r w:rsidRPr="007E00E6">
        <w:rPr>
          <w:rFonts w:ascii="Arial" w:hAnsi="Arial" w:cs="Arial"/>
          <w:color w:val="000000"/>
          <w:szCs w:val="24"/>
          <w:lang w:val="es-AR" w:eastAsia="es-AR"/>
        </w:rPr>
        <w:lastRenderedPageBreak/>
        <w:t>nuestro país en el mundo y sus desafíos geopolíticos del presente y el futuro. El autor cuenta el antes, el durante y el después de estos épicos sucesos poco o nada conocidos hasta ahora. A 40 años exactos del conflicto bélico en el Atlántico Sur, el libro les devuelve la voz a los protagonistas de la gesta, en un acto de reparadora justicia que nos lleva a considerar esta obra como relevante para la construcción y defensa de la soberanía nacional de los vecinos de la Ciudad.</w:t>
      </w:r>
    </w:p>
    <w:p w:rsidR="00E90FE8" w:rsidRPr="007E00E6" w:rsidRDefault="007E00E6" w:rsidP="00E90FE8">
      <w:pPr>
        <w:spacing w:after="200" w:line="360" w:lineRule="auto"/>
        <w:rPr>
          <w:rFonts w:ascii="Arial" w:hAnsi="Arial" w:cs="Arial"/>
          <w:szCs w:val="24"/>
          <w:lang w:val="es-AR" w:eastAsia="es-AR"/>
        </w:rPr>
      </w:pPr>
      <w:r w:rsidRPr="007E00E6">
        <w:rPr>
          <w:rFonts w:ascii="Arial" w:hAnsi="Arial" w:cs="Arial"/>
          <w:color w:val="000000"/>
          <w:szCs w:val="24"/>
          <w:lang w:val="es-AR" w:eastAsia="es-AR"/>
        </w:rPr>
        <w:t xml:space="preserve">Que </w:t>
      </w:r>
      <w:r w:rsidR="00E90FE8" w:rsidRPr="007E00E6">
        <w:rPr>
          <w:rFonts w:ascii="Arial" w:hAnsi="Arial" w:cs="Arial"/>
          <w:color w:val="000000"/>
          <w:szCs w:val="24"/>
          <w:lang w:val="es-AR" w:eastAsia="es-AR"/>
        </w:rPr>
        <w:t>Juan Terranova nació en la Ciudad de Buenos Aires en 1975. Actualmente cumple funciones en el Museo Malvinas e Islas del Atlántico Sur y milita la causa Malvinas, tomando la guerra como un hecho central de la lucha por nuestra soberanía en el Atlántico Sur. Es Licenciado en Letras por la Universidad de Buenos Aires y Magíster en Sociología de la Cultura. </w:t>
      </w:r>
    </w:p>
    <w:p w:rsidR="00E90FE8" w:rsidRPr="007E00E6" w:rsidRDefault="007E00E6" w:rsidP="00E90FE8">
      <w:pPr>
        <w:spacing w:after="200" w:line="360" w:lineRule="auto"/>
        <w:rPr>
          <w:rFonts w:ascii="Arial" w:hAnsi="Arial" w:cs="Arial"/>
          <w:color w:val="000000"/>
          <w:szCs w:val="24"/>
          <w:lang w:val="es-AR" w:eastAsia="es-AR"/>
        </w:rPr>
      </w:pPr>
      <w:r w:rsidRPr="007E00E6">
        <w:rPr>
          <w:rFonts w:ascii="Arial" w:hAnsi="Arial" w:cs="Arial"/>
          <w:color w:val="000000"/>
          <w:szCs w:val="24"/>
          <w:lang w:val="es-AR" w:eastAsia="es-AR"/>
        </w:rPr>
        <w:t>Que e</w:t>
      </w:r>
      <w:r w:rsidR="00E90FE8" w:rsidRPr="007E00E6">
        <w:rPr>
          <w:rFonts w:ascii="Arial" w:hAnsi="Arial" w:cs="Arial"/>
          <w:color w:val="000000"/>
          <w:szCs w:val="24"/>
          <w:lang w:val="es-AR" w:eastAsia="es-AR"/>
        </w:rPr>
        <w:t xml:space="preserve">n el marco del año 2022, declarado por esta Legislatura </w:t>
      </w:r>
      <w:r w:rsidR="00E90FE8" w:rsidRPr="007E00E6">
        <w:rPr>
          <w:rFonts w:ascii="Arial" w:hAnsi="Arial" w:cs="Arial"/>
          <w:i/>
          <w:iCs/>
          <w:color w:val="000000"/>
          <w:szCs w:val="24"/>
          <w:lang w:val="es-AR" w:eastAsia="es-AR"/>
        </w:rPr>
        <w:t>“Año del 40° aniversario de la Guerra de Malvinas. En homenaje a los veteranos y caídos en la defensa de las Islas Malvinas y el Atlántico Sur”</w:t>
      </w:r>
      <w:r w:rsidRPr="007E00E6">
        <w:rPr>
          <w:rFonts w:ascii="Arial" w:hAnsi="Arial" w:cs="Arial"/>
          <w:color w:val="000000"/>
          <w:szCs w:val="24"/>
          <w:lang w:val="es-AR" w:eastAsia="es-AR"/>
        </w:rPr>
        <w:t>, entendemos</w:t>
      </w:r>
      <w:r w:rsidR="00E90FE8" w:rsidRPr="007E00E6">
        <w:rPr>
          <w:rFonts w:ascii="Arial" w:hAnsi="Arial" w:cs="Arial"/>
          <w:color w:val="000000"/>
          <w:szCs w:val="24"/>
          <w:lang w:val="es-AR" w:eastAsia="es-AR"/>
        </w:rPr>
        <w:t xml:space="preserve"> que este libro es un nuevo aporte que ejercita la construcción de la memoria colectiva de nuestra sociedad.</w:t>
      </w:r>
    </w:p>
    <w:p w:rsidR="007E00E6" w:rsidRPr="007E00E6" w:rsidRDefault="007E00E6" w:rsidP="007E00E6">
      <w:pPr>
        <w:rPr>
          <w:rFonts w:ascii="Arial" w:hAnsi="Arial" w:cs="Arial"/>
          <w:szCs w:val="24"/>
          <w:lang w:val="es-MX"/>
        </w:rPr>
      </w:pPr>
      <w:r w:rsidRPr="007E00E6">
        <w:rPr>
          <w:rFonts w:ascii="Arial" w:hAnsi="Arial" w:cs="Arial"/>
          <w:szCs w:val="24"/>
          <w:lang w:val="es-MX"/>
        </w:rPr>
        <w:t xml:space="preserve">Por todo lo expuesto, esta </w:t>
      </w:r>
      <w:r w:rsidRPr="007E00E6">
        <w:rPr>
          <w:rFonts w:ascii="Arial" w:hAnsi="Arial" w:cs="Arial"/>
          <w:b/>
          <w:szCs w:val="24"/>
          <w:lang w:val="es-MX"/>
        </w:rPr>
        <w:t>Comisión de Comunicación Social</w:t>
      </w:r>
      <w:r w:rsidRPr="007E00E6">
        <w:rPr>
          <w:rFonts w:ascii="Arial" w:hAnsi="Arial" w:cs="Arial"/>
          <w:szCs w:val="24"/>
          <w:lang w:val="es-MX"/>
        </w:rPr>
        <w:t xml:space="preserve"> aconseja la aprobación de la siguiente</w:t>
      </w:r>
    </w:p>
    <w:p w:rsidR="007E00E6" w:rsidRPr="007E00E6" w:rsidRDefault="007E00E6" w:rsidP="007E00E6">
      <w:pPr>
        <w:ind w:firstLine="708"/>
        <w:rPr>
          <w:rFonts w:ascii="Arial" w:hAnsi="Arial" w:cs="Arial"/>
          <w:szCs w:val="24"/>
          <w:lang w:val="es-MX"/>
        </w:rPr>
      </w:pPr>
    </w:p>
    <w:p w:rsidR="007E00E6" w:rsidRPr="007E00E6" w:rsidRDefault="007E00E6" w:rsidP="007E00E6">
      <w:pPr>
        <w:ind w:firstLine="708"/>
        <w:rPr>
          <w:rFonts w:ascii="Arial" w:hAnsi="Arial" w:cs="Arial"/>
          <w:szCs w:val="24"/>
        </w:rPr>
      </w:pPr>
    </w:p>
    <w:p w:rsidR="007E00E6" w:rsidRPr="007E00E6" w:rsidRDefault="007E00E6" w:rsidP="007E00E6">
      <w:pPr>
        <w:jc w:val="center"/>
        <w:rPr>
          <w:rFonts w:ascii="Arial" w:hAnsi="Arial" w:cs="Arial"/>
          <w:b/>
          <w:szCs w:val="24"/>
          <w:lang w:val="es-MX"/>
        </w:rPr>
      </w:pPr>
      <w:r w:rsidRPr="007E00E6">
        <w:rPr>
          <w:rFonts w:ascii="Arial" w:hAnsi="Arial" w:cs="Arial"/>
          <w:b/>
          <w:szCs w:val="24"/>
          <w:lang w:val="es-MX"/>
        </w:rPr>
        <w:t>DECLARACION</w:t>
      </w:r>
    </w:p>
    <w:p w:rsidR="007E00E6" w:rsidRPr="007E00E6" w:rsidRDefault="007E00E6" w:rsidP="007E00E6">
      <w:pPr>
        <w:jc w:val="center"/>
        <w:rPr>
          <w:rFonts w:ascii="Arial" w:hAnsi="Arial" w:cs="Arial"/>
          <w:b/>
          <w:szCs w:val="24"/>
          <w:lang w:val="es-MX"/>
        </w:rPr>
      </w:pPr>
    </w:p>
    <w:p w:rsidR="007E00E6" w:rsidRPr="007E00E6" w:rsidRDefault="007E00E6" w:rsidP="007E00E6">
      <w:pPr>
        <w:rPr>
          <w:rFonts w:ascii="Arial" w:hAnsi="Arial" w:cs="Arial"/>
          <w:szCs w:val="24"/>
          <w:lang w:val="es-MX"/>
        </w:rPr>
      </w:pPr>
    </w:p>
    <w:p w:rsidR="007E00E6" w:rsidRPr="007E00E6" w:rsidRDefault="007E00E6" w:rsidP="007E00E6">
      <w:pPr>
        <w:shd w:val="clear" w:color="auto" w:fill="FFFFFF"/>
        <w:rPr>
          <w:rFonts w:ascii="Arial" w:hAnsi="Arial" w:cs="Arial"/>
          <w:color w:val="000000"/>
          <w:szCs w:val="24"/>
          <w:lang w:val="es-ES" w:eastAsia="en-US"/>
        </w:rPr>
      </w:pPr>
      <w:r w:rsidRPr="007E00E6">
        <w:rPr>
          <w:rFonts w:ascii="Arial" w:hAnsi="Arial" w:cs="Arial"/>
          <w:szCs w:val="24"/>
          <w:lang w:val="es-MX"/>
        </w:rPr>
        <w:t xml:space="preserve">Declárase </w:t>
      </w:r>
      <w:r w:rsidRPr="007E00E6">
        <w:rPr>
          <w:rFonts w:ascii="Arial" w:hAnsi="Arial" w:cs="Arial"/>
          <w:color w:val="000000" w:themeColor="text1"/>
          <w:szCs w:val="24"/>
        </w:rPr>
        <w:t>de interés</w:t>
      </w:r>
      <w:r w:rsidRPr="007E00E6">
        <w:rPr>
          <w:rFonts w:ascii="Arial" w:eastAsia="Arial Unicode MS" w:hAnsi="Arial" w:cs="Arial"/>
          <w:szCs w:val="24"/>
        </w:rPr>
        <w:t xml:space="preserve"> para la comunicación social y cultural </w:t>
      </w:r>
      <w:r w:rsidRPr="007E00E6">
        <w:rPr>
          <w:rFonts w:ascii="Arial" w:hAnsi="Arial" w:cs="Arial"/>
          <w:color w:val="000000"/>
          <w:szCs w:val="24"/>
          <w:lang w:val="es-ES" w:eastAsia="en-US"/>
        </w:rPr>
        <w:t xml:space="preserve">de la Ciudad Autónoma de Buenos Aires </w:t>
      </w:r>
      <w:r w:rsidRPr="007E00E6">
        <w:rPr>
          <w:rFonts w:ascii="Arial" w:hAnsi="Arial" w:cs="Arial"/>
          <w:color w:val="000000"/>
          <w:szCs w:val="24"/>
          <w:lang w:val="es-AR" w:eastAsia="es-AR"/>
        </w:rPr>
        <w:t>el libro "ARA Bahía Paraíso. La historia del buque polar que fue a la guerra de Malvinas", del escritor y crítico literario Juan Terranova, publicado por Paco Ediciones.</w:t>
      </w:r>
    </w:p>
    <w:p w:rsidR="007E00E6" w:rsidRPr="007E00E6" w:rsidRDefault="007E00E6" w:rsidP="007E00E6">
      <w:pPr>
        <w:pStyle w:val="Body"/>
        <w:shd w:val="clear" w:color="auto" w:fill="FFFFFF"/>
        <w:spacing w:line="360" w:lineRule="auto"/>
        <w:rPr>
          <w:rFonts w:ascii="Arial" w:eastAsia="Cambria" w:hAnsi="Arial" w:cs="Arial"/>
          <w:color w:val="1C1C1C"/>
          <w:u w:color="1C1C1C"/>
        </w:rPr>
      </w:pPr>
    </w:p>
    <w:p w:rsidR="007E00E6" w:rsidRPr="007E00E6" w:rsidRDefault="007E00E6" w:rsidP="007E00E6">
      <w:pPr>
        <w:shd w:val="clear" w:color="auto" w:fill="FFFFFF"/>
        <w:rPr>
          <w:rFonts w:ascii="Arial" w:eastAsia="Arial Unicode MS" w:hAnsi="Arial" w:cs="Arial"/>
          <w:szCs w:val="24"/>
        </w:rPr>
      </w:pPr>
    </w:p>
    <w:p w:rsidR="007E00E6" w:rsidRPr="007E00E6" w:rsidRDefault="007E00E6" w:rsidP="007E00E6">
      <w:pPr>
        <w:rPr>
          <w:rFonts w:ascii="Arial" w:hAnsi="Arial" w:cs="Arial"/>
          <w:szCs w:val="24"/>
          <w:lang w:val="es-MX"/>
        </w:rPr>
      </w:pPr>
      <w:r w:rsidRPr="007E00E6">
        <w:rPr>
          <w:rFonts w:ascii="Arial" w:hAnsi="Arial" w:cs="Arial"/>
          <w:szCs w:val="24"/>
          <w:lang w:val="es-MX"/>
        </w:rPr>
        <w:t xml:space="preserve">Sala de la Comisión </w:t>
      </w:r>
    </w:p>
    <w:p w:rsidR="007E00E6" w:rsidRPr="007E00E6" w:rsidRDefault="007E00E6" w:rsidP="007E00E6">
      <w:pPr>
        <w:rPr>
          <w:rFonts w:ascii="Arial" w:hAnsi="Arial" w:cs="Arial"/>
          <w:szCs w:val="24"/>
          <w:lang w:val="es-MX"/>
        </w:rPr>
      </w:pPr>
    </w:p>
    <w:p w:rsidR="007E00E6" w:rsidRPr="007E00E6" w:rsidRDefault="007E00E6" w:rsidP="007E00E6">
      <w:pPr>
        <w:rPr>
          <w:rFonts w:ascii="Arial" w:hAnsi="Arial" w:cs="Arial"/>
          <w:szCs w:val="24"/>
          <w:lang w:val="es-MX"/>
        </w:rPr>
      </w:pPr>
    </w:p>
    <w:p w:rsidR="007E00E6" w:rsidRPr="007E00E6" w:rsidRDefault="007E00E6" w:rsidP="007E00E6">
      <w:pPr>
        <w:ind w:firstLine="708"/>
        <w:rPr>
          <w:rFonts w:ascii="Arial" w:hAnsi="Arial" w:cs="Arial"/>
          <w:szCs w:val="24"/>
        </w:rPr>
      </w:pPr>
    </w:p>
    <w:p w:rsidR="007E00E6" w:rsidRPr="007E00E6" w:rsidRDefault="007E00E6" w:rsidP="007E00E6">
      <w:pPr>
        <w:rPr>
          <w:rFonts w:ascii="Arial" w:hAnsi="Arial" w:cs="Arial"/>
          <w:b/>
          <w:szCs w:val="24"/>
        </w:rPr>
      </w:pPr>
    </w:p>
    <w:p w:rsidR="007E00E6" w:rsidRPr="007E00E6" w:rsidRDefault="007E00E6" w:rsidP="007E00E6">
      <w:pPr>
        <w:jc w:val="center"/>
        <w:rPr>
          <w:rFonts w:ascii="Arial" w:hAnsi="Arial" w:cs="Arial"/>
          <w:szCs w:val="24"/>
        </w:rPr>
      </w:pP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t>Méndez, María Sol</w:t>
      </w:r>
    </w:p>
    <w:p w:rsidR="007E00E6" w:rsidRPr="007E00E6" w:rsidRDefault="007E00E6" w:rsidP="007E00E6">
      <w:pPr>
        <w:jc w:val="center"/>
        <w:rPr>
          <w:rFonts w:ascii="Arial" w:hAnsi="Arial" w:cs="Arial"/>
          <w:szCs w:val="24"/>
        </w:rPr>
      </w:pP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t>Presidente</w:t>
      </w: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r w:rsidRPr="007E00E6">
        <w:rPr>
          <w:rFonts w:ascii="Arial" w:hAnsi="Arial" w:cs="Arial"/>
          <w:szCs w:val="24"/>
        </w:rPr>
        <w:t xml:space="preserve"> Vitali, Franco                   </w:t>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t xml:space="preserve">       Guouman, Marcelo</w:t>
      </w:r>
    </w:p>
    <w:p w:rsidR="007E00E6" w:rsidRPr="007E00E6" w:rsidRDefault="007E00E6" w:rsidP="007E00E6">
      <w:pPr>
        <w:jc w:val="left"/>
        <w:rPr>
          <w:rFonts w:ascii="Arial" w:hAnsi="Arial" w:cs="Arial"/>
          <w:szCs w:val="24"/>
        </w:rPr>
      </w:pPr>
      <w:r w:rsidRPr="007E00E6">
        <w:rPr>
          <w:rFonts w:ascii="Arial" w:hAnsi="Arial" w:cs="Arial"/>
          <w:szCs w:val="24"/>
        </w:rPr>
        <w:t>Vicepresidente</w:t>
      </w: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r w:rsidRPr="007E00E6">
        <w:rPr>
          <w:rFonts w:ascii="Arial" w:hAnsi="Arial" w:cs="Arial"/>
          <w:szCs w:val="24"/>
        </w:rPr>
        <w:t>Garrido, Esteban</w:t>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t>Romano, Lucía</w:t>
      </w: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p>
    <w:p w:rsidR="007E00E6" w:rsidRPr="007E00E6" w:rsidRDefault="007E00E6" w:rsidP="007E00E6">
      <w:pPr>
        <w:jc w:val="left"/>
        <w:rPr>
          <w:rFonts w:ascii="Arial" w:hAnsi="Arial" w:cs="Arial"/>
          <w:szCs w:val="24"/>
        </w:rPr>
      </w:pPr>
      <w:r w:rsidRPr="007E00E6">
        <w:rPr>
          <w:rFonts w:ascii="Arial" w:hAnsi="Arial" w:cs="Arial"/>
          <w:szCs w:val="24"/>
        </w:rPr>
        <w:t xml:space="preserve">   Nieto, Darío</w:t>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r>
      <w:r w:rsidRPr="007E00E6">
        <w:rPr>
          <w:rFonts w:ascii="Arial" w:hAnsi="Arial" w:cs="Arial"/>
          <w:szCs w:val="24"/>
        </w:rPr>
        <w:tab/>
        <w:t>Fleitas, Rebeca</w:t>
      </w:r>
    </w:p>
    <w:p w:rsidR="007E00E6" w:rsidRPr="007E00E6" w:rsidRDefault="007E00E6" w:rsidP="00E90FE8">
      <w:pPr>
        <w:spacing w:after="200" w:line="360" w:lineRule="auto"/>
        <w:rPr>
          <w:rFonts w:ascii="Arial" w:hAnsi="Arial" w:cs="Arial"/>
          <w:szCs w:val="24"/>
          <w:lang w:eastAsia="es-AR"/>
        </w:rPr>
      </w:pPr>
    </w:p>
    <w:p w:rsidR="00E90FE8" w:rsidRPr="007E00E6" w:rsidRDefault="00E90FE8" w:rsidP="00E5658D">
      <w:pPr>
        <w:rPr>
          <w:rFonts w:ascii="Arial" w:hAnsi="Arial" w:cs="Arial"/>
          <w:szCs w:val="24"/>
          <w:lang w:val="es-AR"/>
        </w:rPr>
      </w:pPr>
    </w:p>
    <w:p w:rsidR="007E00E6" w:rsidRPr="007E00E6" w:rsidRDefault="007E00E6">
      <w:pPr>
        <w:rPr>
          <w:rFonts w:ascii="Arial" w:hAnsi="Arial" w:cs="Arial"/>
          <w:szCs w:val="24"/>
          <w:lang w:val="es-AR"/>
        </w:rPr>
      </w:pPr>
    </w:p>
    <w:sectPr w:rsidR="007E00E6" w:rsidRPr="007E00E6"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926" w:rsidRDefault="00F45926">
      <w:r>
        <w:separator/>
      </w:r>
    </w:p>
  </w:endnote>
  <w:endnote w:type="continuationSeparator" w:id="1">
    <w:p w:rsidR="00F45926" w:rsidRDefault="00F459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0FE8" w:rsidRPr="00E90FE8">
        <w:rPr>
          <w:noProof/>
          <w:color w:val="333333"/>
          <w:sz w:val="20"/>
        </w:rPr>
        <w:t>00/00/0000 0:00:00</w:t>
      </w:r>
    </w:fldSimple>
    <w:r w:rsidRPr="001C19C4">
      <w:rPr>
        <w:color w:val="333333"/>
        <w:sz w:val="20"/>
      </w:rPr>
      <w:t xml:space="preserve">  -  Cantidad de caracteres: </w:t>
    </w:r>
    <w:fldSimple w:instr=" NUMCHARS  \* MERGEFORMAT ">
      <w:r w:rsidR="00E90FE8" w:rsidRPr="00E90FE8">
        <w:rPr>
          <w:noProof/>
          <w:color w:val="333333"/>
          <w:sz w:val="20"/>
        </w:rPr>
        <w:t>0</w:t>
      </w:r>
    </w:fldSimple>
    <w:r w:rsidRPr="001C19C4">
      <w:rPr>
        <w:color w:val="333333"/>
        <w:sz w:val="20"/>
      </w:rPr>
      <w:t xml:space="preserve"> - Cantidad de palabras: </w:t>
    </w:r>
    <w:fldSimple w:instr=" NUMWORDS  \* MERGEFORMAT ">
      <w:r w:rsidR="00E90FE8" w:rsidRPr="00E90FE8">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73565" w:rsidRPr="001C19C4">
      <w:rPr>
        <w:rStyle w:val="Nmerodepgina"/>
        <w:color w:val="333333"/>
      </w:rPr>
      <w:fldChar w:fldCharType="begin"/>
    </w:r>
    <w:r w:rsidRPr="001C19C4">
      <w:rPr>
        <w:rStyle w:val="Nmerodepgina"/>
        <w:color w:val="333333"/>
      </w:rPr>
      <w:instrText xml:space="preserve"> PAGE </w:instrText>
    </w:r>
    <w:r w:rsidR="00273565" w:rsidRPr="001C19C4">
      <w:rPr>
        <w:rStyle w:val="Nmerodepgina"/>
        <w:color w:val="333333"/>
      </w:rPr>
      <w:fldChar w:fldCharType="separate"/>
    </w:r>
    <w:r w:rsidR="007E00E6">
      <w:rPr>
        <w:rStyle w:val="Nmerodepgina"/>
        <w:noProof/>
        <w:color w:val="333333"/>
      </w:rPr>
      <w:t>2</w:t>
    </w:r>
    <w:r w:rsidR="00273565" w:rsidRPr="001C19C4">
      <w:rPr>
        <w:rStyle w:val="Nmerodepgina"/>
        <w:color w:val="333333"/>
      </w:rPr>
      <w:fldChar w:fldCharType="end"/>
    </w:r>
    <w:r w:rsidRPr="001C19C4">
      <w:rPr>
        <w:rStyle w:val="Nmerodepgina"/>
        <w:color w:val="333333"/>
      </w:rPr>
      <w:t>/</w:t>
    </w:r>
    <w:fldSimple w:instr=" NUMPAGES  \* MERGEFORMAT ">
      <w:r w:rsidR="007E00E6" w:rsidRPr="007E00E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926" w:rsidRDefault="00F45926">
      <w:r>
        <w:separator/>
      </w:r>
    </w:p>
  </w:footnote>
  <w:footnote w:type="continuationSeparator" w:id="1">
    <w:p w:rsidR="00F45926" w:rsidRDefault="00F459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E00E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3565"/>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00E6"/>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0FE8"/>
    <w:rsid w:val="00E91F21"/>
    <w:rsid w:val="00EB6956"/>
    <w:rsid w:val="00EE6672"/>
    <w:rsid w:val="00EF0D22"/>
    <w:rsid w:val="00F13C69"/>
    <w:rsid w:val="00F41DF6"/>
    <w:rsid w:val="00F4592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FE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7E00E6"/>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14</TotalTime>
  <Pages>3</Pages>
  <Words>623</Words>
  <Characters>3429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1</cp:revision>
  <cp:lastPrinted>2020-02-28T17:24:00Z</cp:lastPrinted>
  <dcterms:created xsi:type="dcterms:W3CDTF">2022-06-29T16:56:00Z</dcterms:created>
  <dcterms:modified xsi:type="dcterms:W3CDTF">2022-06-29T17:11:00Z</dcterms:modified>
</cp:coreProperties>
</file>