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0F9" w:rsidRDefault="00E420F9" w:rsidP="00E420F9">
      <w:pPr>
        <w:spacing w:line="360" w:lineRule="auto"/>
        <w:jc w:val="center"/>
        <w:rPr>
          <w:lang w:val="es-MX"/>
        </w:rPr>
      </w:pPr>
      <w:bookmarkStart w:id="0" w:name="PDeclaración"/>
      <w:bookmarkEnd w:id="0"/>
      <w:r w:rsidRPr="000B20DE">
        <w:rPr>
          <w:b/>
          <w:lang w:val="es-MX"/>
        </w:rPr>
        <w:t>PROYECTO DE DECLARACIÓN</w:t>
      </w:r>
    </w:p>
    <w:p w:rsidR="00E420F9" w:rsidRPr="000B20DE" w:rsidRDefault="00E420F9" w:rsidP="00E420F9">
      <w:pPr>
        <w:spacing w:line="360" w:lineRule="auto"/>
        <w:jc w:val="center"/>
        <w:rPr>
          <w:lang w:val="es-MX"/>
        </w:rPr>
      </w:pPr>
    </w:p>
    <w:p w:rsidR="00E420F9" w:rsidRPr="000B20DE" w:rsidRDefault="00E420F9" w:rsidP="00E420F9">
      <w:pPr>
        <w:spacing w:line="360" w:lineRule="auto"/>
        <w:rPr>
          <w:lang w:val="es-MX"/>
        </w:rPr>
      </w:pPr>
      <w:r w:rsidRPr="000B20DE">
        <w:rPr>
          <w:lang w:val="es-MX"/>
        </w:rPr>
        <w:t>Declárese de interés social, político y cultural a "</w:t>
      </w:r>
      <w:r w:rsidRPr="000B20DE">
        <w:rPr>
          <w:i/>
          <w:lang w:val="es-MX"/>
        </w:rPr>
        <w:t>R.J.W: Un documental sobre Rodolfo Walsh</w:t>
      </w:r>
      <w:r w:rsidRPr="000B20DE">
        <w:rPr>
          <w:lang w:val="es-MX"/>
        </w:rPr>
        <w:t xml:space="preserve">" del director argentino Fermín Rivera. </w:t>
      </w:r>
    </w:p>
    <w:p w:rsidR="00E420F9" w:rsidRPr="000B20DE" w:rsidRDefault="00E420F9" w:rsidP="00E420F9">
      <w:pPr>
        <w:spacing w:line="360" w:lineRule="auto"/>
        <w:rPr>
          <w:lang w:val="es-MX"/>
        </w:rPr>
      </w:pPr>
    </w:p>
    <w:p w:rsidR="00E420F9" w:rsidRPr="000B20DE" w:rsidRDefault="00E420F9" w:rsidP="00E420F9">
      <w:pPr>
        <w:spacing w:line="360" w:lineRule="auto"/>
        <w:rPr>
          <w:lang w:val="es-MX"/>
        </w:rPr>
      </w:pPr>
    </w:p>
    <w:p w:rsidR="00E420F9" w:rsidRPr="000B20DE" w:rsidRDefault="00E420F9" w:rsidP="00E420F9">
      <w:pPr>
        <w:spacing w:line="360" w:lineRule="auto"/>
        <w:rPr>
          <w:lang w:val="es-MX"/>
        </w:rPr>
      </w:pPr>
    </w:p>
    <w:p w:rsidR="00E420F9" w:rsidRPr="000B20DE" w:rsidRDefault="00E420F9" w:rsidP="00E420F9">
      <w:pPr>
        <w:spacing w:line="360" w:lineRule="auto"/>
        <w:rPr>
          <w:lang w:val="es-MX"/>
        </w:rPr>
      </w:pPr>
    </w:p>
    <w:p w:rsidR="00E420F9" w:rsidRPr="000B20DE" w:rsidRDefault="00E420F9" w:rsidP="00E420F9">
      <w:pPr>
        <w:spacing w:line="360" w:lineRule="auto"/>
        <w:rPr>
          <w:lang w:val="es-MX"/>
        </w:rPr>
      </w:pPr>
      <w:r w:rsidRPr="000B20DE">
        <w:rPr>
          <w:lang w:val="es-MX"/>
        </w:rPr>
        <w:tab/>
      </w: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Default="00E420F9" w:rsidP="00E420F9">
      <w:pPr>
        <w:spacing w:line="360" w:lineRule="auto"/>
        <w:rPr>
          <w:lang w:val="es-MX"/>
        </w:rPr>
      </w:pPr>
    </w:p>
    <w:p w:rsidR="00E420F9" w:rsidRPr="000B20DE" w:rsidRDefault="00E420F9" w:rsidP="00E420F9">
      <w:pPr>
        <w:spacing w:line="360" w:lineRule="auto"/>
        <w:jc w:val="center"/>
        <w:rPr>
          <w:lang w:val="es-MX"/>
        </w:rPr>
      </w:pPr>
      <w:r w:rsidRPr="000B20DE">
        <w:rPr>
          <w:b/>
          <w:lang w:val="es-MX"/>
        </w:rPr>
        <w:lastRenderedPageBreak/>
        <w:t>FUNDAMENTOS</w:t>
      </w:r>
    </w:p>
    <w:p w:rsidR="00E420F9" w:rsidRPr="000B20DE" w:rsidRDefault="00E420F9" w:rsidP="00E420F9">
      <w:pPr>
        <w:spacing w:line="360" w:lineRule="auto"/>
        <w:rPr>
          <w:lang w:val="es-MX"/>
        </w:rPr>
      </w:pPr>
    </w:p>
    <w:p w:rsidR="00E420F9" w:rsidRPr="000B20DE" w:rsidRDefault="00E420F9" w:rsidP="00E420F9">
      <w:pPr>
        <w:pStyle w:val="NormalWeb"/>
        <w:shd w:val="clear" w:color="auto" w:fill="FFFFFF"/>
        <w:spacing w:before="0" w:beforeAutospacing="0" w:after="0" w:afterAutospacing="0" w:line="360" w:lineRule="auto"/>
        <w:jc w:val="right"/>
        <w:rPr>
          <w:color w:val="000000"/>
          <w:sz w:val="22"/>
        </w:rPr>
      </w:pPr>
      <w:r w:rsidRPr="000B20DE">
        <w:rPr>
          <w:i/>
          <w:iCs/>
          <w:color w:val="000000"/>
          <w:sz w:val="22"/>
        </w:rPr>
        <w:t>El campo del intelectual es por definición la conciencia. Un intelectual que no comprende lo que pasa en su tiempo o en su país es una contradicción andante.</w:t>
      </w:r>
    </w:p>
    <w:p w:rsidR="00E420F9" w:rsidRPr="000B20DE" w:rsidRDefault="00E420F9" w:rsidP="00E420F9">
      <w:pPr>
        <w:pStyle w:val="NormalWeb"/>
        <w:shd w:val="clear" w:color="auto" w:fill="FFFFFF"/>
        <w:spacing w:before="0" w:beforeAutospacing="0" w:after="176" w:afterAutospacing="0" w:line="360" w:lineRule="auto"/>
        <w:jc w:val="right"/>
        <w:rPr>
          <w:color w:val="000000"/>
          <w:sz w:val="22"/>
        </w:rPr>
      </w:pPr>
      <w:r w:rsidRPr="000B20DE">
        <w:rPr>
          <w:color w:val="000000"/>
          <w:sz w:val="22"/>
        </w:rPr>
        <w:t>Rodolfo Walsh</w:t>
      </w:r>
    </w:p>
    <w:p w:rsidR="00E420F9" w:rsidRDefault="00E420F9" w:rsidP="00E420F9">
      <w:pPr>
        <w:spacing w:line="360" w:lineRule="auto"/>
        <w:rPr>
          <w:lang w:val="es-MX"/>
        </w:rPr>
      </w:pPr>
      <w:r w:rsidRPr="000B20DE">
        <w:rPr>
          <w:lang w:val="es-MX"/>
        </w:rPr>
        <w:t>Señor Presidente</w:t>
      </w:r>
      <w:r>
        <w:rPr>
          <w:lang w:val="es-MX"/>
        </w:rPr>
        <w:t xml:space="preserve">: </w:t>
      </w:r>
    </w:p>
    <w:p w:rsidR="00E420F9" w:rsidRPr="000B20DE" w:rsidRDefault="00E420F9" w:rsidP="00E420F9">
      <w:pPr>
        <w:spacing w:line="360" w:lineRule="auto"/>
        <w:rPr>
          <w:lang w:val="es-MX"/>
        </w:rPr>
      </w:pPr>
    </w:p>
    <w:p w:rsidR="00E420F9" w:rsidRPr="000B20DE" w:rsidRDefault="00E420F9" w:rsidP="00E420F9">
      <w:pPr>
        <w:spacing w:line="360" w:lineRule="auto"/>
        <w:rPr>
          <w:lang w:val="es-MX"/>
        </w:rPr>
      </w:pPr>
      <w:r w:rsidRPr="000B20DE">
        <w:rPr>
          <w:lang w:val="es-MX"/>
        </w:rPr>
        <w:tab/>
        <w:t xml:space="preserve">Rodolfo Jorge Walsh nació un 9 de enero de 1927 en la Provincia de Río Negro, aunque paso parte de su infancia y adolescencia en distintos lugares de la Provincia de Buenos Aires. Rodolfo Walsh fue periodista, escritor, traductor y un militante político de fuertes convicciones. </w:t>
      </w:r>
    </w:p>
    <w:p w:rsidR="00E420F9" w:rsidRPr="000B20DE" w:rsidRDefault="00E420F9" w:rsidP="00E420F9">
      <w:pPr>
        <w:spacing w:line="360" w:lineRule="auto"/>
        <w:rPr>
          <w:lang w:val="es-MX"/>
        </w:rPr>
      </w:pPr>
      <w:r w:rsidRPr="000B20DE">
        <w:rPr>
          <w:lang w:val="es-MX"/>
        </w:rPr>
        <w:tab/>
        <w:t>Su vida contiene una profusa obra literaria, periodística y de investigación que lo hizo ser reconocido de muy joven. A los 20 comenzó a publicar sus primeros textos periodísticos. En 1953 publicó "</w:t>
      </w:r>
      <w:r w:rsidRPr="000B20DE">
        <w:rPr>
          <w:i/>
          <w:lang w:val="es-MX"/>
        </w:rPr>
        <w:t>Diez cuentos policiales argentinos</w:t>
      </w:r>
      <w:r w:rsidRPr="000B20DE">
        <w:rPr>
          <w:lang w:val="es-MX"/>
        </w:rPr>
        <w:t>" (primera recopilación de autores nacionales del género) y "</w:t>
      </w:r>
      <w:r w:rsidRPr="000B20DE">
        <w:rPr>
          <w:i/>
          <w:lang w:val="es-MX"/>
        </w:rPr>
        <w:t>Variaciones en rojo</w:t>
      </w:r>
      <w:r w:rsidRPr="000B20DE">
        <w:rPr>
          <w:lang w:val="es-MX"/>
        </w:rPr>
        <w:t>" (Premio Municipal de Literatura de Buenos Aires), y en 1956 "</w:t>
      </w:r>
      <w:r w:rsidRPr="000B20DE">
        <w:rPr>
          <w:i/>
          <w:lang w:val="es-MX"/>
        </w:rPr>
        <w:t>Antología del cuento extraño</w:t>
      </w:r>
      <w:r w:rsidRPr="000B20DE">
        <w:rPr>
          <w:lang w:val="es-MX"/>
        </w:rPr>
        <w:t>".</w:t>
      </w:r>
    </w:p>
    <w:p w:rsidR="00E420F9" w:rsidRPr="000B20DE" w:rsidRDefault="00E420F9" w:rsidP="00E420F9">
      <w:pPr>
        <w:spacing w:line="360" w:lineRule="auto"/>
        <w:rPr>
          <w:i/>
          <w:lang w:val="es-MX"/>
        </w:rPr>
      </w:pPr>
      <w:r w:rsidRPr="000B20DE">
        <w:rPr>
          <w:lang w:val="es-MX"/>
        </w:rPr>
        <w:tab/>
        <w:t>Su siguiente libro no sólo fue la primera obra del género de "</w:t>
      </w:r>
      <w:r w:rsidRPr="000B20DE">
        <w:rPr>
          <w:i/>
          <w:lang w:val="es-MX"/>
        </w:rPr>
        <w:t>crónica periodística</w:t>
      </w:r>
      <w:r w:rsidRPr="000B20DE">
        <w:rPr>
          <w:lang w:val="es-MX"/>
        </w:rPr>
        <w:t>" o "no ficción", que consiste en el relato novelado de un hecho real (adelantándose años a la obra "</w:t>
      </w:r>
      <w:r w:rsidRPr="000B20DE">
        <w:rPr>
          <w:i/>
          <w:lang w:val="es-MX"/>
        </w:rPr>
        <w:t>A sangre fría</w:t>
      </w:r>
      <w:r w:rsidRPr="000B20DE">
        <w:rPr>
          <w:lang w:val="es-MX"/>
        </w:rPr>
        <w:t xml:space="preserve">" - </w:t>
      </w:r>
      <w:r w:rsidRPr="000B20DE">
        <w:rPr>
          <w:i/>
          <w:lang w:val="es-MX"/>
        </w:rPr>
        <w:t>In Cold Blood -</w:t>
      </w:r>
      <w:r w:rsidRPr="000B20DE">
        <w:rPr>
          <w:lang w:val="es-MX"/>
        </w:rPr>
        <w:t xml:space="preserve"> de Truman Capote, el libro a menudo citado como iniciador de este género), sino que además - en sus propias palabras - </w:t>
      </w:r>
      <w:r w:rsidRPr="000B20DE">
        <w:rPr>
          <w:i/>
          <w:lang w:val="es-MX"/>
        </w:rPr>
        <w:t xml:space="preserve">"…cambió mi vida. Haciéndola, descubrí, además de mis perplejidades íntimas, que existía un amenazante mundo exterior". </w:t>
      </w:r>
      <w:r w:rsidRPr="000B20DE">
        <w:rPr>
          <w:lang w:val="es-MX"/>
        </w:rPr>
        <w:t>"</w:t>
      </w:r>
      <w:r w:rsidRPr="000B20DE">
        <w:rPr>
          <w:i/>
          <w:lang w:val="es-MX"/>
        </w:rPr>
        <w:t>Operación Masacre</w:t>
      </w:r>
      <w:r w:rsidRPr="000B20DE">
        <w:rPr>
          <w:lang w:val="es-MX"/>
        </w:rPr>
        <w:t xml:space="preserve">" (1957) nació una tarde de 1956, cuando Walsh se encontraba jugando al ajedrez en un bar de La Plata y escuchó la frase </w:t>
      </w:r>
      <w:r w:rsidRPr="000B20DE">
        <w:rPr>
          <w:i/>
          <w:lang w:val="es-MX"/>
        </w:rPr>
        <w:t>"Hay un fusilado que vive".</w:t>
      </w:r>
      <w:r w:rsidRPr="000B20DE">
        <w:rPr>
          <w:lang w:val="es-MX"/>
        </w:rPr>
        <w:t xml:space="preserve"> La frase se refería a los fusilamientos de militantes políticos, civiles y militares ocurridos el 9 de junio de 1956, durante el gobierno de facto de la autodenominada "</w:t>
      </w:r>
      <w:r w:rsidRPr="000B20DE">
        <w:rPr>
          <w:i/>
          <w:lang w:val="es-MX"/>
        </w:rPr>
        <w:t>Revolución Libertadora</w:t>
      </w:r>
      <w:r w:rsidRPr="000B20DE">
        <w:rPr>
          <w:lang w:val="es-MX"/>
        </w:rPr>
        <w:t>" en los basurales de José León Suárez, en el partido de General San Martín, Provincia de Buenos Aires, y nunca se le fue de la mente. En 1972 la obra fue llevada al cine.</w:t>
      </w:r>
    </w:p>
    <w:p w:rsidR="00E420F9" w:rsidRPr="000B20DE" w:rsidRDefault="00E420F9" w:rsidP="00E420F9">
      <w:pPr>
        <w:spacing w:line="360" w:lineRule="auto"/>
        <w:rPr>
          <w:lang w:val="es-MX"/>
        </w:rPr>
      </w:pPr>
      <w:r w:rsidRPr="000B20DE">
        <w:rPr>
          <w:lang w:val="es-MX"/>
        </w:rPr>
        <w:tab/>
        <w:t>Su obra recorre el género policial, periodístico y testimonial, con libros que alcanzaron gran difusión como "</w:t>
      </w:r>
      <w:r w:rsidRPr="000B20DE">
        <w:rPr>
          <w:i/>
          <w:lang w:val="es-MX"/>
        </w:rPr>
        <w:t>Quién mató a Rosendo</w:t>
      </w:r>
      <w:r w:rsidRPr="000B20DE">
        <w:rPr>
          <w:lang w:val="es-MX"/>
        </w:rPr>
        <w:t>" (1969) o "</w:t>
      </w:r>
      <w:r w:rsidRPr="000B20DE">
        <w:rPr>
          <w:i/>
          <w:lang w:val="es-MX"/>
        </w:rPr>
        <w:t>Caso Satanowsky</w:t>
      </w:r>
      <w:r w:rsidRPr="000B20DE">
        <w:rPr>
          <w:lang w:val="es-MX"/>
        </w:rPr>
        <w:t>" (1973).</w:t>
      </w:r>
    </w:p>
    <w:p w:rsidR="00E420F9" w:rsidRPr="000B20DE" w:rsidRDefault="00E420F9" w:rsidP="00E420F9">
      <w:pPr>
        <w:spacing w:line="360" w:lineRule="auto"/>
        <w:rPr>
          <w:lang w:val="es-MX"/>
        </w:rPr>
      </w:pPr>
      <w:r w:rsidRPr="000B20DE">
        <w:rPr>
          <w:lang w:val="es-MX"/>
        </w:rPr>
        <w:tab/>
        <w:t>“R.J.W.”</w:t>
      </w:r>
      <w:r w:rsidRPr="000B20DE">
        <w:rPr>
          <w:rStyle w:val="Refdenotaalpie"/>
          <w:lang w:val="es-MX"/>
        </w:rPr>
        <w:footnoteReference w:id="1"/>
      </w:r>
      <w:r w:rsidRPr="000B20DE">
        <w:rPr>
          <w:lang w:val="es-MX"/>
        </w:rPr>
        <w:t xml:space="preserve"> Son las iniciales de Rodolfo Jorge Walsh. El nombre completo y casi desconocido de Rodolfo Walsh. El documental construye un paralelismo entre vida y obra. Dando cuenta, con matices y paradojas, del componente autorreferencial en su escritura.</w:t>
      </w:r>
    </w:p>
    <w:p w:rsidR="00E420F9" w:rsidRPr="000B20DE" w:rsidRDefault="00E420F9" w:rsidP="00E420F9">
      <w:pPr>
        <w:spacing w:line="360" w:lineRule="auto"/>
        <w:rPr>
          <w:lang w:val="es-MX"/>
        </w:rPr>
      </w:pPr>
      <w:r w:rsidRPr="000B20DE">
        <w:rPr>
          <w:lang w:val="es-MX"/>
        </w:rPr>
        <w:tab/>
        <w:t xml:space="preserve">La película aborda su infancia en Rio Negro. El paso por el internado irlandés. Su fallido intento de ingresar al Liceo Naval. La influencia de su esposa Elina Tejerina. </w:t>
      </w:r>
      <w:r w:rsidRPr="000B20DE">
        <w:rPr>
          <w:lang w:val="es-MX"/>
        </w:rPr>
        <w:lastRenderedPageBreak/>
        <w:t>Su admiración por Borges y su circunstancial oposición a Perón, hasta el final de su proceso de transformación con “</w:t>
      </w:r>
      <w:r w:rsidRPr="000B20DE">
        <w:rPr>
          <w:i/>
          <w:lang w:val="es-MX"/>
        </w:rPr>
        <w:t>Operación Masacre</w:t>
      </w:r>
      <w:r w:rsidRPr="000B20DE">
        <w:rPr>
          <w:lang w:val="es-MX"/>
        </w:rPr>
        <w:t>”.</w:t>
      </w:r>
    </w:p>
    <w:p w:rsidR="00E420F9" w:rsidRPr="000B20DE" w:rsidRDefault="00E420F9" w:rsidP="00E420F9">
      <w:pPr>
        <w:spacing w:line="360" w:lineRule="auto"/>
        <w:rPr>
          <w:lang w:val="es-MX"/>
        </w:rPr>
      </w:pPr>
      <w:r w:rsidRPr="000B20DE">
        <w:rPr>
          <w:lang w:val="es-MX"/>
        </w:rPr>
        <w:tab/>
        <w:t>El director de esta pieza, Fermín Rivera, nos invita a hacer un viaje por la vida de Rodolfo y también por la historia de nuestro país y sus análisis bajo el ojo crítico del escritor.</w:t>
      </w:r>
    </w:p>
    <w:p w:rsidR="00E420F9" w:rsidRPr="000B20DE" w:rsidRDefault="00E420F9" w:rsidP="00E420F9">
      <w:pPr>
        <w:spacing w:line="360" w:lineRule="auto"/>
        <w:rPr>
          <w:i/>
          <w:lang w:val="es-MX"/>
        </w:rPr>
      </w:pPr>
      <w:r w:rsidRPr="000B20DE">
        <w:rPr>
          <w:lang w:val="es-MX"/>
        </w:rPr>
        <w:tab/>
        <w:t>En palabras del autor: "</w:t>
      </w:r>
      <w:r w:rsidRPr="000B20DE">
        <w:rPr>
          <w:i/>
          <w:lang w:val="es-MX"/>
        </w:rPr>
        <w:t>La obra de Rodolfo Walsh ocupa un lugar fundamental en las letras argentinas. Paradójicamente, su extraordinaria labor de ficción ha quedado, en cierto modo, relegada por sus grandes investigaciones, a las que se hace constante referencia cuando se menciona su nombre. Si bien es cierto que la mayoría de sus obras ficcionales están notablemente ensambladas entre el universo político y los extraordinarios recursos literarios, resulta notable que su literatura tiene un importante componente autorreferencial. De hecho, la multiplicidad de oficios y pasatiempos en los que se involucró (criptógrafo, lavacopas, vendedor de antigüedades, traductor, y fotógrafo entre otros) fueron materiales esenciales para sus cuentos. Leyendo la obra de Walsh, se puede vislumbrar la transformación que él mismo percibía:</w:t>
      </w:r>
    </w:p>
    <w:p w:rsidR="00E420F9" w:rsidRPr="000B20DE" w:rsidRDefault="00E420F9" w:rsidP="00E420F9">
      <w:pPr>
        <w:spacing w:line="360" w:lineRule="auto"/>
        <w:jc w:val="center"/>
        <w:rPr>
          <w:lang w:val="es-MX"/>
        </w:rPr>
      </w:pPr>
      <w:r w:rsidRPr="000B20DE">
        <w:rPr>
          <w:lang w:val="es-MX"/>
        </w:rPr>
        <w:t>“... Soy lento, he tardado quince años en pasar del mero nacionalismo a la izquierda; lustros en aprender a armar un cuento, a sentir la respiración de un texto; sé que me falta mucho para poder decir instantáneamente lo que quiero, en su forma óptima; pienso que la literatura es, entre otras cosas, un avance laborioso a través de la propia estupidez” (Autobiografía RW)</w:t>
      </w:r>
    </w:p>
    <w:p w:rsidR="00E420F9" w:rsidRPr="000B20DE" w:rsidRDefault="00E420F9" w:rsidP="00E420F9">
      <w:pPr>
        <w:spacing w:line="360" w:lineRule="auto"/>
        <w:rPr>
          <w:lang w:val="es-MX"/>
        </w:rPr>
      </w:pPr>
      <w:r w:rsidRPr="000B20DE">
        <w:rPr>
          <w:i/>
          <w:lang w:val="es-MX"/>
        </w:rPr>
        <w:tab/>
        <w:t>"... En lo personal, la literatura de Rodolfo Walsh me apasiona: el ritmo, las pausas, las onomatopeyas, las elipsis, los diálogos. Atmósferas construidas desde un detalle intrascendente que al leerlas transportan a distintas latitudes. El artículo periodístico más banal está estructurado con una impronta policial, con algún conflicto latente que hace imposible dejar de leerlo, aun conociendo el desenlace".</w:t>
      </w:r>
      <w:r w:rsidRPr="000B20DE">
        <w:rPr>
          <w:lang w:val="es-MX"/>
        </w:rPr>
        <w:t xml:space="preserve"> </w:t>
      </w:r>
    </w:p>
    <w:p w:rsidR="00E420F9" w:rsidRPr="000B20DE" w:rsidRDefault="00E420F9" w:rsidP="00E420F9">
      <w:pPr>
        <w:spacing w:line="360" w:lineRule="auto"/>
        <w:rPr>
          <w:lang w:val="es-MX"/>
        </w:rPr>
      </w:pPr>
      <w:r w:rsidRPr="000B20DE">
        <w:rPr>
          <w:lang w:val="es-MX"/>
        </w:rPr>
        <w:tab/>
        <w:t>“R.J.W.” hace mención (además de la afición por las claves de Rodolfo) a Walsh antes de ser Walsh. El Walsh no tan transitado, que no nació héroe ni escritor, sino que se fue construyendo en un lento proceso de transformación. Un Walsh que puede resultar incómodo con sus artículos a los aviadores. Un Walsh ecléctico que nos da la pauta de su metamorfosis. El Walsh que dice que su historia es la historia de la Argentina.</w:t>
      </w:r>
    </w:p>
    <w:p w:rsidR="00E420F9" w:rsidRPr="000B20DE" w:rsidRDefault="00E420F9" w:rsidP="00E420F9">
      <w:pPr>
        <w:spacing w:line="360" w:lineRule="auto"/>
        <w:rPr>
          <w:lang w:val="es-MX"/>
        </w:rPr>
      </w:pPr>
      <w:r w:rsidRPr="000B20DE">
        <w:rPr>
          <w:lang w:val="es-MX"/>
        </w:rPr>
        <w:tab/>
        <w:t>Sin dudas, Rivera hizo un trabajo que es fundamental para mantener viva la memoria y no olvidar quien supo allanar el camino en tiempos donde eso resultaba imposible.</w:t>
      </w:r>
    </w:p>
    <w:p w:rsidR="00E420F9" w:rsidRPr="000B20DE" w:rsidRDefault="00E420F9" w:rsidP="00E420F9">
      <w:pPr>
        <w:spacing w:line="360" w:lineRule="auto"/>
        <w:rPr>
          <w:lang w:val="es-MX"/>
        </w:rPr>
      </w:pPr>
      <w:r w:rsidRPr="000B20DE">
        <w:rPr>
          <w:lang w:val="es-MX"/>
        </w:rPr>
        <w:tab/>
        <w:t xml:space="preserve">Por los motivos antes expuestos, solicito a este cuerpo legislativo la aprobación de este proyecto </w:t>
      </w:r>
    </w:p>
    <w:p w:rsidR="00AF6352" w:rsidRPr="00E420F9" w:rsidRDefault="00AF6352" w:rsidP="00E420F9">
      <w:pPr>
        <w:rPr>
          <w:lang w:val="es-MX"/>
        </w:rPr>
      </w:pPr>
    </w:p>
    <w:sectPr w:rsidR="00AF6352" w:rsidRPr="00E420F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853" w:rsidRDefault="00023853">
      <w:r>
        <w:separator/>
      </w:r>
    </w:p>
  </w:endnote>
  <w:endnote w:type="continuationSeparator" w:id="0">
    <w:p w:rsidR="00023853" w:rsidRDefault="000238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420F9" w:rsidRDefault="00601A75">
    <w:pPr>
      <w:pStyle w:val="Piedepgina"/>
      <w:rPr>
        <w:color w:val="333333"/>
        <w:sz w:val="20"/>
      </w:rPr>
    </w:pPr>
    <w:bookmarkStart w:id="1" w:name="Proyecto"/>
    <w:bookmarkEnd w:id="1"/>
  </w:p>
  <w:p w:rsidR="00601A75" w:rsidRPr="00E420F9" w:rsidRDefault="00601A75">
    <w:pPr>
      <w:pStyle w:val="Piedepgina"/>
      <w:rPr>
        <w:color w:val="333333"/>
        <w:sz w:val="20"/>
      </w:rPr>
    </w:pPr>
    <w:r w:rsidRPr="00E420F9">
      <w:rPr>
        <w:color w:val="333333"/>
        <w:sz w:val="20"/>
      </w:rPr>
      <w:t xml:space="preserve">Último cambio: </w:t>
    </w:r>
    <w:fldSimple w:instr=" SAVEDATE  \* MERGEFORMAT ">
      <w:r w:rsidR="00E420F9">
        <w:rPr>
          <w:noProof/>
          <w:color w:val="333333"/>
          <w:sz w:val="20"/>
        </w:rPr>
        <w:t>00/00/0000 0:00:00</w:t>
      </w:r>
    </w:fldSimple>
    <w:r w:rsidRPr="00E420F9">
      <w:rPr>
        <w:color w:val="333333"/>
        <w:sz w:val="20"/>
      </w:rPr>
      <w:t xml:space="preserve">  -  Cantidad de caracteres: </w:t>
    </w:r>
    <w:fldSimple w:instr=" NUMCHARS  \* MERGEFORMAT ">
      <w:r w:rsidR="00E420F9">
        <w:rPr>
          <w:noProof/>
          <w:color w:val="333333"/>
          <w:sz w:val="20"/>
        </w:rPr>
        <w:t>4400</w:t>
      </w:r>
    </w:fldSimple>
    <w:r w:rsidRPr="00E420F9">
      <w:rPr>
        <w:color w:val="333333"/>
        <w:sz w:val="20"/>
      </w:rPr>
      <w:t xml:space="preserve"> - Cantidad de palabras: </w:t>
    </w:r>
    <w:fldSimple w:instr=" NUMWORDS  \* MERGEFORMAT ">
      <w:r w:rsidR="00E420F9">
        <w:rPr>
          <w:noProof/>
          <w:color w:val="333333"/>
          <w:sz w:val="20"/>
        </w:rPr>
        <w:t>845</w:t>
      </w:r>
    </w:fldSimple>
  </w:p>
  <w:p w:rsidR="00601A75" w:rsidRPr="00E420F9" w:rsidRDefault="00601A75" w:rsidP="00B05649">
    <w:pPr>
      <w:pStyle w:val="Piedepgina"/>
      <w:tabs>
        <w:tab w:val="left" w:pos="3565"/>
      </w:tabs>
      <w:rPr>
        <w:rStyle w:val="Nmerodepgina"/>
        <w:color w:val="333333"/>
      </w:rPr>
    </w:pPr>
    <w:r w:rsidRPr="00E420F9">
      <w:rPr>
        <w:color w:val="333333"/>
        <w:sz w:val="20"/>
      </w:rPr>
      <w:tab/>
      <w:t>Pág.</w:t>
    </w:r>
    <w:r w:rsidRPr="00E420F9">
      <w:rPr>
        <w:color w:val="333333"/>
      </w:rPr>
      <w:t xml:space="preserve"> </w:t>
    </w:r>
    <w:r w:rsidRPr="00E420F9">
      <w:rPr>
        <w:rStyle w:val="Nmerodepgina"/>
        <w:color w:val="333333"/>
      </w:rPr>
      <w:fldChar w:fldCharType="begin"/>
    </w:r>
    <w:r w:rsidRPr="00E420F9">
      <w:rPr>
        <w:rStyle w:val="Nmerodepgina"/>
        <w:color w:val="333333"/>
      </w:rPr>
      <w:instrText xml:space="preserve"> PAGE </w:instrText>
    </w:r>
    <w:r w:rsidRPr="00E420F9">
      <w:rPr>
        <w:rStyle w:val="Nmerodepgina"/>
        <w:color w:val="333333"/>
      </w:rPr>
      <w:fldChar w:fldCharType="separate"/>
    </w:r>
    <w:r w:rsidR="00E420F9">
      <w:rPr>
        <w:rStyle w:val="Nmerodepgina"/>
        <w:noProof/>
        <w:color w:val="333333"/>
      </w:rPr>
      <w:t>3</w:t>
    </w:r>
    <w:r w:rsidRPr="00E420F9">
      <w:rPr>
        <w:rStyle w:val="Nmerodepgina"/>
        <w:color w:val="333333"/>
      </w:rPr>
      <w:fldChar w:fldCharType="end"/>
    </w:r>
    <w:r w:rsidRPr="00E420F9">
      <w:rPr>
        <w:rStyle w:val="Nmerodepgina"/>
        <w:color w:val="333333"/>
      </w:rPr>
      <w:t>/</w:t>
    </w:r>
    <w:fldSimple w:instr=" NUMPAGES  \* MERGEFORMAT ">
      <w:r w:rsidR="00E420F9">
        <w:rPr>
          <w:rStyle w:val="Nmerodepgina"/>
          <w:noProof/>
          <w:color w:val="333333"/>
        </w:rPr>
        <w:t>3</w:t>
      </w:r>
    </w:fldSimple>
    <w:r w:rsidRPr="00E420F9">
      <w:rPr>
        <w:rStyle w:val="Nmerodepgina"/>
        <w:color w:val="333333"/>
      </w:rPr>
      <w:t xml:space="preserve"> </w:t>
    </w:r>
  </w:p>
  <w:p w:rsidR="00601A75" w:rsidRPr="00E420F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853" w:rsidRDefault="00023853">
      <w:r>
        <w:separator/>
      </w:r>
    </w:p>
  </w:footnote>
  <w:footnote w:type="continuationSeparator" w:id="0">
    <w:p w:rsidR="00023853" w:rsidRDefault="00023853">
      <w:r>
        <w:continuationSeparator/>
      </w:r>
    </w:p>
  </w:footnote>
  <w:footnote w:id="1">
    <w:p w:rsidR="00E420F9" w:rsidRPr="003B5B03" w:rsidRDefault="00E420F9" w:rsidP="00E420F9">
      <w:pPr>
        <w:pStyle w:val="Textonotapie"/>
        <w:rPr>
          <w:lang w:val="es-AR"/>
        </w:rPr>
      </w:pPr>
      <w:r>
        <w:rPr>
          <w:rStyle w:val="Refdenotaalpie"/>
        </w:rPr>
        <w:footnoteRef/>
      </w:r>
      <w:r>
        <w:t xml:space="preserve"> </w:t>
      </w:r>
      <w:r>
        <w:rPr>
          <w:lang w:val="es-AR"/>
        </w:rPr>
        <w:t xml:space="preserve">R.J.W. tráiler </w:t>
      </w:r>
      <w:r w:rsidRPr="003B5B03">
        <w:rPr>
          <w:lang w:val="es-AR"/>
        </w:rPr>
        <w:t>https://www.youtube.com/watch?v=JU6OMqvnAwk&amp;t=4s</w:t>
      </w:r>
      <w:r>
        <w:rPr>
          <w:lang w:val="es-AR"/>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420F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023853"/>
    <w:rsid w:val="00000D04"/>
    <w:rsid w:val="00001988"/>
    <w:rsid w:val="000031F8"/>
    <w:rsid w:val="0002385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20F9"/>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0F9"/>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E420F9"/>
    <w:pPr>
      <w:spacing w:before="100" w:beforeAutospacing="1" w:after="100" w:afterAutospacing="1"/>
      <w:jc w:val="left"/>
    </w:pPr>
    <w:rPr>
      <w:szCs w:val="24"/>
      <w:lang w:val="es-AR" w:eastAsia="es-AR"/>
    </w:rPr>
  </w:style>
  <w:style w:type="paragraph" w:styleId="Textonotapie">
    <w:name w:val="footnote text"/>
    <w:basedOn w:val="Normal"/>
    <w:link w:val="TextonotapieCar"/>
    <w:uiPriority w:val="99"/>
    <w:semiHidden/>
    <w:unhideWhenUsed/>
    <w:rsid w:val="00E420F9"/>
    <w:rPr>
      <w:sz w:val="20"/>
    </w:rPr>
  </w:style>
  <w:style w:type="character" w:customStyle="1" w:styleId="TextonotapieCar">
    <w:name w:val="Texto nota pie Car"/>
    <w:basedOn w:val="Fuentedeprrafopredeter"/>
    <w:link w:val="Textonotapie"/>
    <w:uiPriority w:val="99"/>
    <w:semiHidden/>
    <w:rsid w:val="00E420F9"/>
    <w:rPr>
      <w:lang w:val="es-ES_tradnl" w:eastAsia="es-ES"/>
    </w:rPr>
  </w:style>
  <w:style w:type="character" w:styleId="Refdenotaalpie">
    <w:name w:val="footnote reference"/>
    <w:basedOn w:val="Fuentedeprrafopredeter"/>
    <w:uiPriority w:val="99"/>
    <w:semiHidden/>
    <w:unhideWhenUsed/>
    <w:rsid w:val="00E420F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1109C8-FA08-46EB-A6D6-2B03ED399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855</Words>
  <Characters>4447</Characters>
  <Application>Microsoft Office Word</Application>
  <DocSecurity>0</DocSecurity>
  <Lines>114</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2022-08-19T19:46:00Z</dcterms:created>
  <dcterms:modified xsi:type="dcterms:W3CDTF">2022-08-19T19:48:00Z</dcterms:modified>
</cp:coreProperties>
</file>