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25C" w:rsidRPr="0081620E" w:rsidRDefault="000F125C" w:rsidP="000F125C">
      <w:pPr>
        <w:spacing w:line="360" w:lineRule="auto"/>
        <w:jc w:val="center"/>
        <w:rPr>
          <w:rFonts w:asciiTheme="majorHAnsi" w:hAnsiTheme="majorHAnsi"/>
          <w:b/>
        </w:rPr>
      </w:pPr>
      <w:r w:rsidRPr="0081620E">
        <w:rPr>
          <w:rFonts w:asciiTheme="majorHAnsi" w:hAnsiTheme="majorHAnsi"/>
          <w:b/>
        </w:rPr>
        <w:t>PROYECTO DE RESOLUCIÓN</w:t>
      </w:r>
    </w:p>
    <w:p w:rsidR="000F125C" w:rsidRPr="0081620E" w:rsidRDefault="000F125C" w:rsidP="000F125C">
      <w:pPr>
        <w:spacing w:line="360" w:lineRule="auto"/>
        <w:rPr>
          <w:rFonts w:asciiTheme="majorHAnsi" w:hAnsiTheme="majorHAnsi"/>
          <w:b/>
        </w:rPr>
      </w:pPr>
    </w:p>
    <w:p w:rsidR="000F125C" w:rsidRPr="0081620E" w:rsidRDefault="000F125C" w:rsidP="000F125C">
      <w:pPr>
        <w:spacing w:line="360" w:lineRule="auto"/>
        <w:rPr>
          <w:rFonts w:asciiTheme="majorHAnsi" w:hAnsiTheme="majorHAnsi"/>
          <w:color w:val="000000"/>
        </w:rPr>
      </w:pPr>
      <w:r w:rsidRPr="00E637DF">
        <w:rPr>
          <w:rFonts w:asciiTheme="majorHAnsi" w:hAnsiTheme="majorHAnsi"/>
          <w:b/>
          <w:color w:val="000000"/>
        </w:rPr>
        <w:t>Artículo 1°.-</w:t>
      </w:r>
      <w:r w:rsidRPr="0081620E">
        <w:rPr>
          <w:rFonts w:asciiTheme="majorHAnsi" w:hAnsiTheme="majorHAnsi"/>
          <w:color w:val="000000"/>
        </w:rPr>
        <w:t xml:space="preserve"> </w:t>
      </w:r>
      <w:r w:rsidRPr="00533A08">
        <w:rPr>
          <w:rFonts w:ascii="Cambria" w:hAnsi="Cambria"/>
          <w:lang w:val="es-ES"/>
        </w:rPr>
        <w:t xml:space="preserve">El Poder Ejecutivo informará, en virtud de las facultades conferidas por el artículo 83, inciso 3° de la Constitución de la Ciudad Autónoma de Buenos Aires, a través de los organismos correspondientes y dentro del plazo de treinta (30) días de recibida la presente, los siguientes puntos relacionados con </w:t>
      </w:r>
      <w:r>
        <w:rPr>
          <w:rFonts w:ascii="Cambria" w:hAnsi="Cambria"/>
          <w:lang w:val="es-ES"/>
        </w:rPr>
        <w:t>el estado de situación de la sede de la Comuna 1:</w:t>
      </w:r>
    </w:p>
    <w:p w:rsidR="000F125C" w:rsidRPr="0081620E" w:rsidRDefault="000F125C" w:rsidP="000F125C">
      <w:pPr>
        <w:spacing w:line="360" w:lineRule="auto"/>
        <w:rPr>
          <w:rFonts w:asciiTheme="majorHAnsi" w:hAnsiTheme="majorHAnsi"/>
          <w:color w:val="000000"/>
        </w:rPr>
      </w:pPr>
    </w:p>
    <w:p w:rsidR="000F125C" w:rsidRPr="00E81738" w:rsidRDefault="000F125C" w:rsidP="000F125C">
      <w:pPr>
        <w:pStyle w:val="Prrafodelista"/>
        <w:numPr>
          <w:ilvl w:val="0"/>
          <w:numId w:val="1"/>
        </w:numPr>
        <w:pBdr>
          <w:top w:val="nil"/>
          <w:left w:val="nil"/>
          <w:bottom w:val="nil"/>
          <w:right w:val="nil"/>
          <w:between w:val="nil"/>
        </w:pBdr>
        <w:spacing w:line="360" w:lineRule="auto"/>
        <w:ind w:left="851" w:hanging="284"/>
        <w:rPr>
          <w:rFonts w:asciiTheme="majorHAnsi" w:hAnsiTheme="majorHAnsi"/>
        </w:rPr>
      </w:pPr>
      <w:r w:rsidRPr="00E81738">
        <w:rPr>
          <w:rFonts w:asciiTheme="majorHAnsi" w:hAnsiTheme="majorHAnsi"/>
          <w:color w:val="000000"/>
        </w:rPr>
        <w:t>Informe si la sede comunal ubicada en Humberto Primo 250 cuenta con atención al público.</w:t>
      </w:r>
    </w:p>
    <w:p w:rsidR="000F125C" w:rsidRPr="00E81738" w:rsidRDefault="000F125C" w:rsidP="000F125C">
      <w:pPr>
        <w:pStyle w:val="Prrafodelista"/>
        <w:numPr>
          <w:ilvl w:val="0"/>
          <w:numId w:val="1"/>
        </w:numPr>
        <w:pBdr>
          <w:top w:val="nil"/>
          <w:left w:val="nil"/>
          <w:bottom w:val="nil"/>
          <w:right w:val="nil"/>
          <w:between w:val="nil"/>
        </w:pBdr>
        <w:spacing w:line="360" w:lineRule="auto"/>
        <w:ind w:left="851" w:hanging="284"/>
        <w:rPr>
          <w:rFonts w:asciiTheme="majorHAnsi" w:hAnsiTheme="majorHAnsi"/>
        </w:rPr>
      </w:pPr>
      <w:r w:rsidRPr="00E81738">
        <w:rPr>
          <w:rFonts w:asciiTheme="majorHAnsi" w:hAnsiTheme="majorHAnsi"/>
        </w:rPr>
        <w:t xml:space="preserve">Especifique los servicios públicos que brinda. Si hay servicios públicos que no </w:t>
      </w:r>
      <w:r>
        <w:rPr>
          <w:rFonts w:asciiTheme="majorHAnsi" w:hAnsiTheme="majorHAnsi"/>
        </w:rPr>
        <w:t>ofrece</w:t>
      </w:r>
      <w:r w:rsidRPr="00E81738">
        <w:rPr>
          <w:rFonts w:asciiTheme="majorHAnsi" w:hAnsiTheme="majorHAnsi"/>
        </w:rPr>
        <w:t>, especifique cuáles y por qué.</w:t>
      </w:r>
    </w:p>
    <w:p w:rsidR="000F125C" w:rsidRPr="00E81738" w:rsidRDefault="000F125C" w:rsidP="000F125C">
      <w:pPr>
        <w:pStyle w:val="Prrafodelista"/>
        <w:numPr>
          <w:ilvl w:val="0"/>
          <w:numId w:val="1"/>
        </w:numPr>
        <w:pBdr>
          <w:top w:val="nil"/>
          <w:left w:val="nil"/>
          <w:bottom w:val="nil"/>
          <w:right w:val="nil"/>
          <w:between w:val="nil"/>
        </w:pBdr>
        <w:spacing w:line="360" w:lineRule="auto"/>
        <w:ind w:left="851" w:hanging="284"/>
        <w:rPr>
          <w:rFonts w:asciiTheme="majorHAnsi" w:hAnsiTheme="majorHAnsi"/>
        </w:rPr>
      </w:pPr>
      <w:r w:rsidRPr="00E81738">
        <w:rPr>
          <w:rFonts w:asciiTheme="majorHAnsi" w:hAnsiTheme="majorHAnsi"/>
        </w:rPr>
        <w:t>Informe el destino del edificio de Uruguay 740</w:t>
      </w:r>
      <w:r>
        <w:rPr>
          <w:rFonts w:asciiTheme="majorHAnsi" w:hAnsiTheme="majorHAnsi"/>
        </w:rPr>
        <w:t xml:space="preserve"> (circunscripción 14, sección 5, manzana 34, parcela 26c)</w:t>
      </w:r>
      <w:r w:rsidRPr="00E81738">
        <w:rPr>
          <w:rFonts w:asciiTheme="majorHAnsi" w:hAnsiTheme="majorHAnsi"/>
        </w:rPr>
        <w:t>.</w:t>
      </w:r>
      <w:r>
        <w:rPr>
          <w:rFonts w:asciiTheme="majorHAnsi" w:hAnsiTheme="majorHAnsi"/>
        </w:rPr>
        <w:t xml:space="preserve"> De haber sido vendida, de cuenta de la utilización de la ganancia obtenida por la venta.</w:t>
      </w:r>
    </w:p>
    <w:p w:rsidR="000F125C" w:rsidRDefault="000F125C" w:rsidP="000F125C">
      <w:pPr>
        <w:pStyle w:val="Prrafodelista"/>
        <w:numPr>
          <w:ilvl w:val="0"/>
          <w:numId w:val="1"/>
        </w:numPr>
        <w:pBdr>
          <w:top w:val="nil"/>
          <w:left w:val="nil"/>
          <w:bottom w:val="nil"/>
          <w:right w:val="nil"/>
          <w:between w:val="nil"/>
        </w:pBdr>
        <w:spacing w:line="360" w:lineRule="auto"/>
        <w:ind w:left="851" w:hanging="284"/>
        <w:rPr>
          <w:rFonts w:asciiTheme="majorHAnsi" w:hAnsiTheme="majorHAnsi"/>
        </w:rPr>
      </w:pPr>
      <w:r>
        <w:rPr>
          <w:rFonts w:asciiTheme="majorHAnsi" w:hAnsiTheme="majorHAnsi"/>
        </w:rPr>
        <w:t>Detalle en metros cuadrados, la superficie de la Sede Comunal. Especifique: cantidad total techada, cantidad destinada a la atención al público, cantidad destinada a las oficinas de gestión y a las oficinas de los comuneros y comuneras, cantidad destinada para los salones de reuniones de la Junta Comunal, del Consejo Consultivo y con vecinos y vecinas.</w:t>
      </w:r>
    </w:p>
    <w:p w:rsidR="000F125C" w:rsidRDefault="000F125C" w:rsidP="000F125C">
      <w:pPr>
        <w:pBdr>
          <w:top w:val="nil"/>
          <w:left w:val="nil"/>
          <w:bottom w:val="nil"/>
          <w:right w:val="nil"/>
          <w:between w:val="nil"/>
        </w:pBdr>
        <w:spacing w:line="360" w:lineRule="auto"/>
        <w:rPr>
          <w:rFonts w:asciiTheme="majorHAnsi" w:hAnsiTheme="majorHAnsi"/>
          <w:color w:val="000000"/>
        </w:rPr>
      </w:pPr>
    </w:p>
    <w:p w:rsidR="000F125C" w:rsidRDefault="000F125C" w:rsidP="000F125C">
      <w:pPr>
        <w:pBdr>
          <w:top w:val="nil"/>
          <w:left w:val="nil"/>
          <w:bottom w:val="nil"/>
          <w:right w:val="nil"/>
          <w:between w:val="nil"/>
        </w:pBdr>
        <w:spacing w:line="360" w:lineRule="auto"/>
        <w:rPr>
          <w:rFonts w:ascii="Cambria" w:hAnsi="Cambria"/>
        </w:rPr>
      </w:pPr>
      <w:r w:rsidRPr="00E9113D">
        <w:rPr>
          <w:rFonts w:ascii="Cambria" w:hAnsi="Cambria"/>
          <w:b/>
        </w:rPr>
        <w:t>Articulo 2.-</w:t>
      </w:r>
      <w:r w:rsidRPr="00B84E6B">
        <w:rPr>
          <w:rFonts w:ascii="Cambria" w:hAnsi="Cambria"/>
        </w:rPr>
        <w:t xml:space="preserve"> </w:t>
      </w:r>
      <w:r>
        <w:rPr>
          <w:rFonts w:ascii="Cambria" w:hAnsi="Cambria"/>
        </w:rPr>
        <w:t>De forma.</w:t>
      </w:r>
    </w:p>
    <w:p w:rsidR="000F125C" w:rsidRPr="00B84E6B" w:rsidRDefault="000F125C" w:rsidP="000F125C">
      <w:pPr>
        <w:pBdr>
          <w:top w:val="nil"/>
          <w:left w:val="nil"/>
          <w:bottom w:val="nil"/>
          <w:right w:val="nil"/>
          <w:between w:val="nil"/>
        </w:pBdr>
        <w:spacing w:line="360" w:lineRule="auto"/>
        <w:rPr>
          <w:rFonts w:ascii="Cambria" w:hAnsi="Cambria"/>
        </w:rPr>
      </w:pPr>
    </w:p>
    <w:p w:rsidR="000F125C" w:rsidRDefault="000F125C" w:rsidP="000F125C">
      <w:pPr>
        <w:pBdr>
          <w:top w:val="nil"/>
          <w:left w:val="nil"/>
          <w:bottom w:val="nil"/>
          <w:right w:val="nil"/>
          <w:between w:val="nil"/>
        </w:pBdr>
        <w:spacing w:line="360" w:lineRule="auto"/>
        <w:rPr>
          <w:rFonts w:asciiTheme="majorHAnsi" w:hAnsiTheme="majorHAnsi"/>
          <w:color w:val="000000"/>
        </w:rPr>
      </w:pPr>
    </w:p>
    <w:p w:rsidR="000F125C" w:rsidRDefault="000F125C" w:rsidP="000F125C">
      <w:pPr>
        <w:pBdr>
          <w:top w:val="nil"/>
          <w:left w:val="nil"/>
          <w:bottom w:val="nil"/>
          <w:right w:val="nil"/>
          <w:between w:val="nil"/>
        </w:pBdr>
        <w:spacing w:line="360" w:lineRule="auto"/>
        <w:rPr>
          <w:rFonts w:asciiTheme="majorHAnsi" w:hAnsiTheme="majorHAnsi"/>
          <w:color w:val="000000"/>
        </w:rPr>
      </w:pPr>
    </w:p>
    <w:p w:rsidR="000F125C" w:rsidRPr="0081620E" w:rsidRDefault="000F125C" w:rsidP="000F125C">
      <w:pPr>
        <w:pBdr>
          <w:top w:val="nil"/>
          <w:left w:val="nil"/>
          <w:bottom w:val="nil"/>
          <w:right w:val="nil"/>
          <w:between w:val="nil"/>
        </w:pBdr>
        <w:spacing w:line="360" w:lineRule="auto"/>
        <w:ind w:left="720"/>
        <w:jc w:val="center"/>
        <w:rPr>
          <w:rFonts w:asciiTheme="majorHAnsi" w:hAnsiTheme="majorHAnsi"/>
          <w:b/>
          <w:color w:val="000000"/>
        </w:rPr>
      </w:pPr>
      <w:r w:rsidRPr="0081620E">
        <w:rPr>
          <w:rFonts w:asciiTheme="majorHAnsi" w:hAnsiTheme="majorHAnsi"/>
          <w:b/>
          <w:color w:val="000000"/>
        </w:rPr>
        <w:t>FUNDAMENTOS</w:t>
      </w:r>
    </w:p>
    <w:p w:rsidR="000F125C" w:rsidRPr="0081620E" w:rsidRDefault="000F125C" w:rsidP="000F125C">
      <w:pPr>
        <w:pBdr>
          <w:top w:val="nil"/>
          <w:left w:val="nil"/>
          <w:bottom w:val="nil"/>
          <w:right w:val="nil"/>
          <w:between w:val="nil"/>
        </w:pBdr>
        <w:spacing w:line="360" w:lineRule="auto"/>
        <w:ind w:left="720"/>
        <w:jc w:val="center"/>
        <w:rPr>
          <w:rFonts w:asciiTheme="majorHAnsi" w:hAnsiTheme="majorHAnsi"/>
          <w:b/>
          <w:color w:val="000000"/>
        </w:rPr>
      </w:pPr>
    </w:p>
    <w:p w:rsidR="000F125C" w:rsidRPr="0081620E" w:rsidRDefault="000F125C" w:rsidP="000F125C">
      <w:pPr>
        <w:spacing w:line="360" w:lineRule="auto"/>
        <w:rPr>
          <w:rFonts w:asciiTheme="majorHAnsi" w:hAnsiTheme="majorHAnsi"/>
        </w:rPr>
      </w:pPr>
      <w:r>
        <w:rPr>
          <w:rFonts w:asciiTheme="majorHAnsi" w:hAnsiTheme="majorHAnsi"/>
        </w:rPr>
        <w:t>Señor Presidente:</w:t>
      </w:r>
    </w:p>
    <w:p w:rsidR="000F125C" w:rsidRDefault="000F125C" w:rsidP="000F125C">
      <w:pPr>
        <w:spacing w:line="360" w:lineRule="auto"/>
        <w:ind w:firstLine="720"/>
        <w:rPr>
          <w:rFonts w:asciiTheme="majorHAnsi" w:hAnsiTheme="majorHAnsi"/>
        </w:rPr>
      </w:pPr>
      <w:r w:rsidRPr="0081620E">
        <w:rPr>
          <w:rFonts w:asciiTheme="majorHAnsi" w:hAnsiTheme="majorHAnsi"/>
        </w:rPr>
        <w:t xml:space="preserve">La Ley 1.777 establece </w:t>
      </w:r>
      <w:r>
        <w:rPr>
          <w:rFonts w:asciiTheme="majorHAnsi" w:hAnsiTheme="majorHAnsi"/>
        </w:rPr>
        <w:t xml:space="preserve">en su artículo 7° </w:t>
      </w:r>
      <w:r w:rsidRPr="0081620E">
        <w:rPr>
          <w:rFonts w:asciiTheme="majorHAnsi" w:hAnsiTheme="majorHAnsi"/>
        </w:rPr>
        <w:t>las figuras de las sede</w:t>
      </w:r>
      <w:r>
        <w:rPr>
          <w:rFonts w:asciiTheme="majorHAnsi" w:hAnsiTheme="majorHAnsi"/>
        </w:rPr>
        <w:t>s</w:t>
      </w:r>
      <w:r w:rsidRPr="0081620E">
        <w:rPr>
          <w:rFonts w:asciiTheme="majorHAnsi" w:hAnsiTheme="majorHAnsi"/>
        </w:rPr>
        <w:t xml:space="preserve"> y </w:t>
      </w:r>
      <w:r>
        <w:rPr>
          <w:rFonts w:asciiTheme="majorHAnsi" w:hAnsiTheme="majorHAnsi"/>
        </w:rPr>
        <w:t xml:space="preserve">la disposición de </w:t>
      </w:r>
      <w:r w:rsidRPr="0081620E">
        <w:rPr>
          <w:rFonts w:asciiTheme="majorHAnsi" w:hAnsiTheme="majorHAnsi"/>
        </w:rPr>
        <w:t>subsedes comunales como centros barriales accesibles, donde</w:t>
      </w:r>
      <w:r>
        <w:rPr>
          <w:rFonts w:asciiTheme="majorHAnsi" w:hAnsiTheme="majorHAnsi"/>
        </w:rPr>
        <w:t xml:space="preserve"> los ciudadanos y ciudadanas </w:t>
      </w:r>
      <w:r w:rsidRPr="0081620E">
        <w:rPr>
          <w:rFonts w:asciiTheme="majorHAnsi" w:hAnsiTheme="majorHAnsi"/>
        </w:rPr>
        <w:t xml:space="preserve">pueden acercarse para realizar consultas, llevar demandas, </w:t>
      </w:r>
      <w:r>
        <w:rPr>
          <w:rFonts w:asciiTheme="majorHAnsi" w:hAnsiTheme="majorHAnsi"/>
        </w:rPr>
        <w:t>reunirse</w:t>
      </w:r>
      <w:r w:rsidRPr="0081620E">
        <w:rPr>
          <w:rFonts w:asciiTheme="majorHAnsi" w:hAnsiTheme="majorHAnsi"/>
        </w:rPr>
        <w:t xml:space="preserve"> con </w:t>
      </w:r>
      <w:r>
        <w:rPr>
          <w:rFonts w:asciiTheme="majorHAnsi" w:hAnsiTheme="majorHAnsi"/>
        </w:rPr>
        <w:t xml:space="preserve">los y las comuneros </w:t>
      </w:r>
      <w:r w:rsidRPr="0081620E">
        <w:rPr>
          <w:rFonts w:asciiTheme="majorHAnsi" w:hAnsiTheme="majorHAnsi"/>
        </w:rPr>
        <w:t xml:space="preserve">o efectuar algún trámite. También es el lugar de trabajo de </w:t>
      </w:r>
      <w:r>
        <w:rPr>
          <w:rFonts w:asciiTheme="majorHAnsi" w:hAnsiTheme="majorHAnsi"/>
        </w:rPr>
        <w:t xml:space="preserve">los y las </w:t>
      </w:r>
      <w:r w:rsidRPr="0081620E">
        <w:rPr>
          <w:rFonts w:asciiTheme="majorHAnsi" w:hAnsiTheme="majorHAnsi"/>
        </w:rPr>
        <w:t>integrantes de la Junta Comuna</w:t>
      </w:r>
      <w:r>
        <w:rPr>
          <w:rFonts w:asciiTheme="majorHAnsi" w:hAnsiTheme="majorHAnsi"/>
        </w:rPr>
        <w:t xml:space="preserve">l. </w:t>
      </w:r>
      <w:r w:rsidRPr="0081620E">
        <w:rPr>
          <w:rFonts w:asciiTheme="majorHAnsi" w:hAnsiTheme="majorHAnsi"/>
        </w:rPr>
        <w:t xml:space="preserve">Por esa razón es fundamental que dichos espacios se encuentren en óptimas condiciones y funcionen al servicio de </w:t>
      </w:r>
      <w:r>
        <w:rPr>
          <w:rFonts w:asciiTheme="majorHAnsi" w:hAnsiTheme="majorHAnsi"/>
        </w:rPr>
        <w:t>los vecinos y vecinas de la comuna.</w:t>
      </w:r>
    </w:p>
    <w:p w:rsidR="000F125C" w:rsidRDefault="000F125C" w:rsidP="000F125C">
      <w:pPr>
        <w:spacing w:line="360" w:lineRule="auto"/>
        <w:ind w:firstLine="720"/>
        <w:rPr>
          <w:rFonts w:asciiTheme="majorHAnsi" w:hAnsiTheme="majorHAnsi"/>
        </w:rPr>
      </w:pPr>
      <w:r>
        <w:rPr>
          <w:rFonts w:asciiTheme="majorHAnsi" w:hAnsiTheme="majorHAnsi"/>
        </w:rPr>
        <w:t xml:space="preserve">En esta casa se presentaron ya varios proyectos sobre las sedes comunales (expedientes 1875-D-2022 y 1110-D-2022 de autoría del diputado Javier Andrade </w:t>
      </w:r>
      <w:r>
        <w:rPr>
          <w:rFonts w:asciiTheme="majorHAnsi" w:hAnsiTheme="majorHAnsi"/>
        </w:rPr>
        <w:lastRenderedPageBreak/>
        <w:t>y el expediente 621-D-2022 de autoría del diputado Alejandro Amor) referidos respectivamente a las sedes y subsedes de las comunas 9 y 4.</w:t>
      </w:r>
    </w:p>
    <w:p w:rsidR="000F125C" w:rsidRDefault="000F125C" w:rsidP="000F125C">
      <w:pPr>
        <w:spacing w:line="360" w:lineRule="auto"/>
        <w:ind w:firstLine="720"/>
        <w:rPr>
          <w:rFonts w:asciiTheme="majorHAnsi" w:hAnsiTheme="majorHAnsi"/>
        </w:rPr>
      </w:pPr>
      <w:r>
        <w:rPr>
          <w:rFonts w:asciiTheme="majorHAnsi" w:hAnsiTheme="majorHAnsi"/>
        </w:rPr>
        <w:t>En este caso, sin embargo, nos referimos a la sede de la Comuna 1, la cual fue inaugurada en 2018 y cuyo edificio es una remodelación del edificio del Ex - Patronato de las Infancias (PadelaI). A pesar de ser una sede de menos de 5 años que costó -en aquel año- $42 millones, actualmente se encuentra prácticamente en desuso ya que vecinos y vecinas denuncian que sus trámites son re-dirigidos al edificio de la ex - fábrica de yerba "Cruz Malta" en Av. Martín García 464. Esto le significa a los mismos un traslado de más de un kilómetro. Por otro lado, la antigua sede sita en la calle Uruguay 740 fue supuestamente subastada según la disposición DI-2019-13-GCABA-DGABRSIEG del 31 de julio de 2019. Dicha subasta fue efectuada el 28 de agosto del mismo año en el salón "Santa María de los Buenos Aires" del Banco Ciudad. El resultado de dicha subasta no consta de forma pública. A esta situación opaca respecto a la información pública, se le suma el sinsentido de que los trámites de la Comuna 1 se realicen geográficamente en la Comuna 4.</w:t>
      </w:r>
    </w:p>
    <w:p w:rsidR="00AF6352" w:rsidRPr="000F125C" w:rsidRDefault="000F125C" w:rsidP="000F125C">
      <w:pPr>
        <w:spacing w:line="360" w:lineRule="auto"/>
        <w:ind w:firstLine="708"/>
        <w:rPr>
          <w:rFonts w:asciiTheme="majorHAnsi" w:hAnsiTheme="majorHAnsi"/>
        </w:rPr>
      </w:pPr>
      <w:r w:rsidRPr="0081620E">
        <w:rPr>
          <w:rFonts w:asciiTheme="majorHAnsi" w:hAnsiTheme="majorHAnsi"/>
        </w:rPr>
        <w:t xml:space="preserve">Por tal motivo, </w:t>
      </w:r>
      <w:r>
        <w:rPr>
          <w:rFonts w:asciiTheme="majorHAnsi" w:hAnsiTheme="majorHAnsi"/>
        </w:rPr>
        <w:t xml:space="preserve">solicitamos </w:t>
      </w:r>
      <w:r w:rsidRPr="0081620E">
        <w:rPr>
          <w:rFonts w:asciiTheme="majorHAnsi" w:hAnsiTheme="majorHAnsi"/>
        </w:rPr>
        <w:t>al cuerpo la aprobación del pr</w:t>
      </w:r>
      <w:r>
        <w:rPr>
          <w:rFonts w:asciiTheme="majorHAnsi" w:hAnsiTheme="majorHAnsi"/>
        </w:rPr>
        <w:t>esente pedido de informes a través de este proyecto de resolución.</w:t>
      </w:r>
    </w:p>
    <w:sectPr w:rsidR="00AF6352" w:rsidRPr="000F125C"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D70" w:rsidRDefault="00A70D70">
      <w:r>
        <w:separator/>
      </w:r>
    </w:p>
  </w:endnote>
  <w:endnote w:type="continuationSeparator" w:id="1">
    <w:p w:rsidR="00A70D70" w:rsidRDefault="00A70D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F125C" w:rsidRDefault="00601A75" w:rsidP="000F125C">
    <w:pPr>
      <w:pStyle w:val="Piedepgina"/>
      <w:jc w:val="center"/>
      <w:rPr>
        <w:rFonts w:asciiTheme="majorHAnsi" w:hAnsiTheme="majorHAnsi"/>
        <w:color w:val="333333"/>
        <w:sz w:val="20"/>
      </w:rPr>
    </w:pPr>
    <w:bookmarkStart w:id="0" w:name="Proyecto"/>
    <w:bookmarkEnd w:id="0"/>
  </w:p>
  <w:p w:rsidR="00601A75" w:rsidRPr="000F125C" w:rsidRDefault="00601A75" w:rsidP="000F125C">
    <w:pPr>
      <w:pStyle w:val="Piedepgina"/>
      <w:jc w:val="center"/>
      <w:rPr>
        <w:rFonts w:asciiTheme="majorHAnsi" w:hAnsiTheme="majorHAnsi"/>
        <w:color w:val="333333"/>
        <w:sz w:val="20"/>
      </w:rPr>
    </w:pPr>
    <w:r w:rsidRPr="000F125C">
      <w:rPr>
        <w:rFonts w:asciiTheme="majorHAnsi" w:hAnsiTheme="majorHAnsi"/>
        <w:color w:val="333333"/>
        <w:sz w:val="20"/>
      </w:rPr>
      <w:t xml:space="preserve">Último cambio: </w:t>
    </w:r>
    <w:fldSimple w:instr=" SAVEDATE  \* MERGEFORMAT ">
      <w:r w:rsidR="000F125C">
        <w:rPr>
          <w:rFonts w:asciiTheme="majorHAnsi" w:hAnsiTheme="majorHAnsi"/>
          <w:noProof/>
          <w:color w:val="333333"/>
          <w:sz w:val="20"/>
        </w:rPr>
        <w:t>00/00/0000 0:00:00</w:t>
      </w:r>
    </w:fldSimple>
    <w:r w:rsidRPr="000F125C">
      <w:rPr>
        <w:rFonts w:asciiTheme="majorHAnsi" w:hAnsiTheme="majorHAnsi"/>
        <w:color w:val="333333"/>
        <w:sz w:val="20"/>
      </w:rPr>
      <w:t xml:space="preserve">  -  Cantidad de caracteres: </w:t>
    </w:r>
    <w:fldSimple w:instr=" NUMCHARS  \* MERGEFORMAT ">
      <w:r w:rsidR="000F125C">
        <w:rPr>
          <w:rFonts w:asciiTheme="majorHAnsi" w:hAnsiTheme="majorHAnsi"/>
          <w:noProof/>
          <w:color w:val="333333"/>
          <w:sz w:val="20"/>
        </w:rPr>
        <w:t>2655</w:t>
      </w:r>
    </w:fldSimple>
    <w:r w:rsidRPr="000F125C">
      <w:rPr>
        <w:rFonts w:asciiTheme="majorHAnsi" w:hAnsiTheme="majorHAnsi"/>
        <w:color w:val="333333"/>
        <w:sz w:val="20"/>
      </w:rPr>
      <w:t xml:space="preserve"> - Cantidad de palabras: </w:t>
    </w:r>
    <w:fldSimple w:instr=" NUMWORDS  \* MERGEFORMAT ">
      <w:r w:rsidR="000F125C">
        <w:rPr>
          <w:rFonts w:asciiTheme="majorHAnsi" w:hAnsiTheme="majorHAnsi"/>
          <w:noProof/>
          <w:color w:val="333333"/>
          <w:sz w:val="20"/>
        </w:rPr>
        <w:t>534</w:t>
      </w:r>
    </w:fldSimple>
  </w:p>
  <w:p w:rsidR="00601A75" w:rsidRPr="000F125C" w:rsidRDefault="00601A75" w:rsidP="000F125C">
    <w:pPr>
      <w:pStyle w:val="Piedepgina"/>
      <w:tabs>
        <w:tab w:val="left" w:pos="3565"/>
      </w:tabs>
      <w:jc w:val="center"/>
      <w:rPr>
        <w:rStyle w:val="Nmerodepgina"/>
        <w:rFonts w:asciiTheme="majorHAnsi" w:hAnsiTheme="majorHAnsi"/>
        <w:color w:val="333333"/>
      </w:rPr>
    </w:pPr>
    <w:r w:rsidRPr="000F125C">
      <w:rPr>
        <w:rFonts w:asciiTheme="majorHAnsi" w:hAnsiTheme="majorHAnsi"/>
        <w:color w:val="333333"/>
        <w:sz w:val="20"/>
      </w:rPr>
      <w:t>Pág.</w:t>
    </w:r>
    <w:r w:rsidRPr="000F125C">
      <w:rPr>
        <w:rFonts w:asciiTheme="majorHAnsi" w:hAnsiTheme="majorHAnsi"/>
        <w:color w:val="333333"/>
      </w:rPr>
      <w:t xml:space="preserve"> </w:t>
    </w:r>
    <w:r w:rsidRPr="000F125C">
      <w:rPr>
        <w:rStyle w:val="Nmerodepgina"/>
        <w:rFonts w:asciiTheme="majorHAnsi" w:hAnsiTheme="majorHAnsi"/>
        <w:color w:val="333333"/>
      </w:rPr>
      <w:fldChar w:fldCharType="begin"/>
    </w:r>
    <w:r w:rsidRPr="000F125C">
      <w:rPr>
        <w:rStyle w:val="Nmerodepgina"/>
        <w:rFonts w:asciiTheme="majorHAnsi" w:hAnsiTheme="majorHAnsi"/>
        <w:color w:val="333333"/>
      </w:rPr>
      <w:instrText xml:space="preserve"> PAGE </w:instrText>
    </w:r>
    <w:r w:rsidRPr="000F125C">
      <w:rPr>
        <w:rStyle w:val="Nmerodepgina"/>
        <w:rFonts w:asciiTheme="majorHAnsi" w:hAnsiTheme="majorHAnsi"/>
        <w:color w:val="333333"/>
      </w:rPr>
      <w:fldChar w:fldCharType="separate"/>
    </w:r>
    <w:r w:rsidR="000F125C">
      <w:rPr>
        <w:rStyle w:val="Nmerodepgina"/>
        <w:rFonts w:asciiTheme="majorHAnsi" w:hAnsiTheme="majorHAnsi"/>
        <w:noProof/>
        <w:color w:val="333333"/>
      </w:rPr>
      <w:t>1</w:t>
    </w:r>
    <w:r w:rsidRPr="000F125C">
      <w:rPr>
        <w:rStyle w:val="Nmerodepgina"/>
        <w:rFonts w:asciiTheme="majorHAnsi" w:hAnsiTheme="majorHAnsi"/>
        <w:color w:val="333333"/>
      </w:rPr>
      <w:fldChar w:fldCharType="end"/>
    </w:r>
    <w:r w:rsidRPr="000F125C">
      <w:rPr>
        <w:rStyle w:val="Nmerodepgina"/>
        <w:rFonts w:asciiTheme="majorHAnsi" w:hAnsiTheme="majorHAnsi"/>
        <w:color w:val="333333"/>
      </w:rPr>
      <w:t>/</w:t>
    </w:r>
    <w:fldSimple w:instr=" NUMPAGES  \* MERGEFORMAT ">
      <w:r w:rsidR="000F125C">
        <w:rPr>
          <w:rStyle w:val="Nmerodepgina"/>
          <w:rFonts w:asciiTheme="majorHAnsi" w:hAnsiTheme="majorHAnsi"/>
          <w:noProof/>
          <w:color w:val="333333"/>
        </w:rPr>
        <w:t>2</w:t>
      </w:r>
    </w:fldSimple>
  </w:p>
  <w:p w:rsidR="00601A75" w:rsidRPr="000F125C" w:rsidRDefault="00601A75" w:rsidP="000F125C">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D70" w:rsidRDefault="00A70D70">
      <w:r>
        <w:separator/>
      </w:r>
    </w:p>
  </w:footnote>
  <w:footnote w:type="continuationSeparator" w:id="1">
    <w:p w:rsidR="00A70D70" w:rsidRDefault="00A70D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F125C"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10068C"/>
    <w:multiLevelType w:val="hybridMultilevel"/>
    <w:tmpl w:val="C5E8036E"/>
    <w:lvl w:ilvl="0" w:tplc="2C0A000F">
      <w:start w:val="1"/>
      <w:numFmt w:val="decimal"/>
      <w:lvlText w:val="%1."/>
      <w:lvlJc w:val="left"/>
      <w:pPr>
        <w:ind w:left="1080" w:hanging="360"/>
      </w:p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A70D70"/>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125C"/>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0D70"/>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25C"/>
    <w:pPr>
      <w:jc w:val="both"/>
    </w:pPr>
    <w:rPr>
      <w:sz w:val="24"/>
      <w:szCs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0F125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2</Pages>
  <Words>533</Words>
  <Characters>2651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cp:revision>
  <cp:lastPrinted>1601-01-01T00:00:00Z</cp:lastPrinted>
  <dcterms:created xsi:type="dcterms:W3CDTF">2022-08-25T16:32:00Z</dcterms:created>
  <dcterms:modified xsi:type="dcterms:W3CDTF">2022-08-25T16:36:00Z</dcterms:modified>
</cp:coreProperties>
</file>