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107" w:rsidRPr="00A86CD3" w:rsidRDefault="00EC42F5">
      <w:pPr>
        <w:spacing w:before="240" w:after="240" w:line="360" w:lineRule="auto"/>
      </w:pPr>
      <w:bookmarkStart w:id="0" w:name="_heading=h.gjdgxs" w:colFirst="0" w:colLast="0"/>
      <w:bookmarkEnd w:id="0"/>
      <w:r w:rsidRPr="00A86CD3">
        <w:t>Legislatura de la Ciudad Autónoma de Buenos Aires</w:t>
      </w:r>
    </w:p>
    <w:p w:rsidR="000C3107" w:rsidRPr="00A86CD3" w:rsidRDefault="00EC42F5" w:rsidP="00FF11B3">
      <w:pPr>
        <w:spacing w:before="240" w:after="240"/>
      </w:pPr>
      <w:r w:rsidRPr="00A86CD3">
        <w:t xml:space="preserve">Visto el Expediente N° </w:t>
      </w:r>
      <w:r w:rsidR="00FF11B3">
        <w:t>2803-D-2021, proyecto de Ley, iniciativa de la Diputada Natalia Fidel, que propone modificar el artículo 77 del Anexo I del Código Electoral, Ley N° 6031,</w:t>
      </w:r>
      <w:r w:rsidRPr="00A86CD3">
        <w:t xml:space="preserve"> y;</w:t>
      </w:r>
    </w:p>
    <w:p w:rsidR="000C3107" w:rsidRPr="00A86CD3" w:rsidRDefault="000C3107">
      <w:pPr>
        <w:spacing w:before="240" w:after="240" w:line="360" w:lineRule="auto"/>
      </w:pPr>
    </w:p>
    <w:p w:rsidR="000C3107" w:rsidRPr="00A86CD3" w:rsidRDefault="00EC42F5">
      <w:pPr>
        <w:shd w:val="clear" w:color="auto" w:fill="FFFFFF"/>
        <w:spacing w:before="240" w:after="240" w:line="360" w:lineRule="auto"/>
        <w:rPr>
          <w:b/>
        </w:rPr>
      </w:pPr>
      <w:r w:rsidRPr="00A86CD3">
        <w:rPr>
          <w:b/>
        </w:rPr>
        <w:t xml:space="preserve">CONSIDERANDO: </w:t>
      </w:r>
    </w:p>
    <w:p w:rsidR="004A7815" w:rsidRPr="00A86CD3" w:rsidRDefault="00A86CD3" w:rsidP="00A86CD3">
      <w:pPr>
        <w:shd w:val="clear" w:color="auto" w:fill="FFFFFF"/>
        <w:spacing w:before="240" w:after="240"/>
        <w:ind w:firstLine="708"/>
      </w:pPr>
      <w:r>
        <w:t>Que e</w:t>
      </w:r>
      <w:r w:rsidR="004A7815" w:rsidRPr="00A86CD3">
        <w:t xml:space="preserve">l presente proyecto retoma el Despacho 401/20 de la comisión de Asuntos Constitucionales y la comisión de Descentralización y Participación Ciudadana de los expediente N° 1206-D-2019, proyecto de Ley del Diputado Blanchetiere y otros/otras, y el Expediente N° 2545-D-2020, proyecto de Ley del Diputado Suárez y otro,  referidos a la modificación del Anexo I de la Ley N° 6031, Código Electoral de la </w:t>
      </w:r>
      <w:r>
        <w:t>Ciudad Autónoma de Buenos Aires;</w:t>
      </w:r>
    </w:p>
    <w:p w:rsidR="004A7815" w:rsidRPr="00A86CD3" w:rsidRDefault="004A7815" w:rsidP="004A7815">
      <w:pPr>
        <w:rPr>
          <w:b/>
        </w:rPr>
      </w:pPr>
      <w:r w:rsidRPr="00A86CD3">
        <w:rPr>
          <w:b/>
        </w:rPr>
        <w:tab/>
      </w:r>
      <w:r w:rsidR="00A86CD3">
        <w:t xml:space="preserve">Que </w:t>
      </w:r>
      <w:r w:rsidRPr="00A86CD3">
        <w:t xml:space="preserve">propone una modificación del artículo 77 del Código Electoral de la Ciudad Autónoma de Buenos Aires que establece requisitos que deberán cumplir las personas que sean nominadas como precandidatas por las agrupaciones políticas para las elecciones de cargos </w:t>
      </w:r>
      <w:r w:rsidR="00A86CD3">
        <w:t>públicos electivos en la Ciudad;</w:t>
      </w:r>
    </w:p>
    <w:p w:rsidR="00A86CD3" w:rsidRPr="00A86CD3" w:rsidRDefault="00A86CD3" w:rsidP="004A7815"/>
    <w:p w:rsidR="004A7815" w:rsidRDefault="004A7815" w:rsidP="004A7815">
      <w:r w:rsidRPr="00A86CD3">
        <w:tab/>
      </w:r>
      <w:r w:rsidR="00A86CD3">
        <w:t>Que a</w:t>
      </w:r>
      <w:r w:rsidRPr="00A86CD3">
        <w:t xml:space="preserve"> los requisitos de elegibilidad ya vigentes, referidos a no contar con procesamiento firme por la comisión de delito de lesa humanidad o por haber actuado en contra de las instituciones democráticas en los términos del artículo 36 de la Constitución Nacional se incorporan no tener condena por delitos contra la integridad sexual, y delitos penales como cohecho y tráfico de influencias, malversación de caudales públicos, negociaciones incompatibles con el ejercicio de funciones públicas, enriquecimiento ilícito, encubrimiento y delito de fraude en perjuici</w:t>
      </w:r>
      <w:r w:rsidR="00A86CD3">
        <w:t>o de la administración pública;</w:t>
      </w:r>
    </w:p>
    <w:p w:rsidR="00A86CD3" w:rsidRPr="00A86CD3" w:rsidRDefault="00A86CD3" w:rsidP="004A7815">
      <w:pPr>
        <w:rPr>
          <w:b/>
        </w:rPr>
      </w:pPr>
    </w:p>
    <w:p w:rsidR="004A7815" w:rsidRDefault="004A7815" w:rsidP="004A7815">
      <w:r w:rsidRPr="00A86CD3">
        <w:tab/>
      </w:r>
      <w:r w:rsidR="00FF11B3">
        <w:t xml:space="preserve">Que </w:t>
      </w:r>
      <w:r w:rsidR="00A86CD3">
        <w:t>la</w:t>
      </w:r>
      <w:r w:rsidRPr="00A86CD3">
        <w:t xml:space="preserve"> condición de inelegibilidad se extiende desde que exista sentencia condenatoria en segunda instancia del proceso hasta su eventual revocación posterior, o bien hasta el cumplimiento de la pena corresp</w:t>
      </w:r>
      <w:r w:rsidR="00A86CD3">
        <w:t>ondiente;</w:t>
      </w:r>
    </w:p>
    <w:p w:rsidR="00A86CD3" w:rsidRPr="00A86CD3" w:rsidRDefault="00A86CD3" w:rsidP="004A7815"/>
    <w:p w:rsidR="004A7815" w:rsidRDefault="004A7815" w:rsidP="004A7815">
      <w:r w:rsidRPr="00A86CD3">
        <w:tab/>
      </w:r>
      <w:r w:rsidR="00FF11B3">
        <w:t>Que c</w:t>
      </w:r>
      <w:r w:rsidRPr="00A86CD3">
        <w:t>abe destacar que nuestro país suscribió a la Convención Interamericana contra la Corrupción y la Convención de las Naciones Unidas contra la Corrupción, propuestas que avanzan sobre la transparencia institucional, considerando a la corrupción como uno de los problemas más graves que en</w:t>
      </w:r>
      <w:r w:rsidR="00FF11B3">
        <w:t>frentan las sociedades modernas;</w:t>
      </w:r>
    </w:p>
    <w:p w:rsidR="00FF11B3" w:rsidRPr="00A86CD3" w:rsidRDefault="00FF11B3" w:rsidP="004A7815">
      <w:pPr>
        <w:rPr>
          <w:highlight w:val="white"/>
        </w:rPr>
      </w:pPr>
    </w:p>
    <w:p w:rsidR="004A7815" w:rsidRDefault="004A7815" w:rsidP="004A7815">
      <w:pPr>
        <w:rPr>
          <w:i/>
        </w:rPr>
      </w:pPr>
      <w:r w:rsidRPr="00A86CD3">
        <w:rPr>
          <w:highlight w:val="white"/>
        </w:rPr>
        <w:tab/>
      </w:r>
      <w:r w:rsidR="00FF11B3">
        <w:rPr>
          <w:highlight w:val="white"/>
        </w:rPr>
        <w:t>Que l</w:t>
      </w:r>
      <w:r w:rsidRPr="00A86CD3">
        <w:rPr>
          <w:highlight w:val="white"/>
        </w:rPr>
        <w:t>a Convención Interamericana contra la Corrupción señala en su Preámbulo que</w:t>
      </w:r>
      <w:r w:rsidRPr="00A86CD3">
        <w:rPr>
          <w:i/>
          <w:highlight w:val="white"/>
        </w:rPr>
        <w:t xml:space="preserve"> “la corrupción socava la legitimidad de las instituciones públicas, atenta contra la sociedad, el orden moral y la justicia, así como contra el desarrollo integral de los pueblos”</w:t>
      </w:r>
      <w:r w:rsidR="00FF11B3">
        <w:rPr>
          <w:i/>
        </w:rPr>
        <w:t>;</w:t>
      </w:r>
    </w:p>
    <w:p w:rsidR="00FF11B3" w:rsidRPr="00A86CD3" w:rsidRDefault="00FF11B3" w:rsidP="004A7815"/>
    <w:p w:rsidR="004A7815" w:rsidRDefault="004A7815" w:rsidP="004A7815">
      <w:r w:rsidRPr="00A86CD3">
        <w:tab/>
      </w:r>
      <w:r w:rsidR="00FF11B3">
        <w:t>Que l</w:t>
      </w:r>
      <w:r w:rsidRPr="00A86CD3">
        <w:t>os Estados parte tienen competencia para reglamentar el ejercicio de los derechos y oportunidades de elegir y</w:t>
      </w:r>
      <w:r w:rsidR="00FF11B3">
        <w:t xml:space="preserve"> ser electos en cargos públicos;</w:t>
      </w:r>
    </w:p>
    <w:p w:rsidR="00FF11B3" w:rsidRPr="00A86CD3" w:rsidRDefault="00FF11B3" w:rsidP="004A7815"/>
    <w:p w:rsidR="004A7815" w:rsidRDefault="004A7815" w:rsidP="004A7815">
      <w:pPr>
        <w:rPr>
          <w:color w:val="000000"/>
        </w:rPr>
      </w:pPr>
      <w:r w:rsidRPr="00A86CD3">
        <w:tab/>
      </w:r>
      <w:r w:rsidR="00FF11B3">
        <w:t>Que l</w:t>
      </w:r>
      <w:r w:rsidRPr="00A86CD3">
        <w:t xml:space="preserve">a propuesta que fundamenta este proyecto es conocida como ¨ficha limpia¨ y cuenta con varias experiencias internacionales de implementación en países como Brasil, </w:t>
      </w:r>
      <w:r w:rsidRPr="00A86CD3">
        <w:rPr>
          <w:color w:val="000000"/>
        </w:rPr>
        <w:t>México, España, Uruguay, Chile, y ha encontrado resonancia en nuestro país con leyes que se han implementado en diversas prov</w:t>
      </w:r>
      <w:r w:rsidR="00FF11B3">
        <w:rPr>
          <w:color w:val="000000"/>
        </w:rPr>
        <w:t xml:space="preserve">incias; </w:t>
      </w:r>
    </w:p>
    <w:p w:rsidR="00FF11B3" w:rsidRPr="00A86CD3" w:rsidRDefault="00FF11B3" w:rsidP="004A7815">
      <w:pPr>
        <w:rPr>
          <w:color w:val="000000"/>
        </w:rPr>
      </w:pPr>
    </w:p>
    <w:p w:rsidR="004A7815" w:rsidRDefault="004A7815" w:rsidP="004A7815">
      <w:r w:rsidRPr="00A86CD3">
        <w:rPr>
          <w:color w:val="000000"/>
        </w:rPr>
        <w:lastRenderedPageBreak/>
        <w:tab/>
      </w:r>
      <w:r w:rsidR="00FF11B3">
        <w:rPr>
          <w:color w:val="000000"/>
        </w:rPr>
        <w:t>Que c</w:t>
      </w:r>
      <w:r w:rsidRPr="00A86CD3">
        <w:rPr>
          <w:color w:val="000000"/>
        </w:rPr>
        <w:t xml:space="preserve">onsideramos que </w:t>
      </w:r>
      <w:r w:rsidRPr="00A86CD3">
        <w:t>resulta oportuno avanzar con una normativa integral que contemple la necesidad de erradicar conductas graves y reprochables, que deberían resultar absolutamente ajenas a los perfiles de quienes pretendan ser candidatos a ocupar ca</w:t>
      </w:r>
      <w:r w:rsidR="00FF11B3">
        <w:t>rgos públicos;</w:t>
      </w:r>
    </w:p>
    <w:p w:rsidR="00FF11B3" w:rsidRPr="00A86CD3" w:rsidRDefault="00FF11B3" w:rsidP="004A7815">
      <w:pPr>
        <w:rPr>
          <w:color w:val="000000"/>
        </w:rPr>
      </w:pPr>
    </w:p>
    <w:p w:rsidR="004A7815" w:rsidRDefault="004A7815" w:rsidP="004A7815">
      <w:pPr>
        <w:pBdr>
          <w:top w:val="nil"/>
          <w:left w:val="nil"/>
          <w:bottom w:val="nil"/>
          <w:right w:val="nil"/>
          <w:between w:val="nil"/>
        </w:pBdr>
        <w:shd w:val="clear" w:color="auto" w:fill="FFFFFF"/>
        <w:rPr>
          <w:color w:val="000000"/>
        </w:rPr>
      </w:pPr>
      <w:r w:rsidRPr="00A86CD3">
        <w:rPr>
          <w:color w:val="000000"/>
        </w:rPr>
        <w:tab/>
      </w:r>
      <w:r w:rsidR="00FF11B3">
        <w:rPr>
          <w:color w:val="000000"/>
        </w:rPr>
        <w:t>Que e</w:t>
      </w:r>
      <w:r w:rsidRPr="00A86CD3">
        <w:rPr>
          <w:color w:val="000000"/>
        </w:rPr>
        <w:t xml:space="preserve">n el sistema judicial argentino ya sea por acción u omisión, </w:t>
      </w:r>
      <w:r w:rsidRPr="00A86CD3">
        <w:t>sólo</w:t>
      </w:r>
      <w:r w:rsidRPr="00A86CD3">
        <w:rPr>
          <w:color w:val="000000"/>
        </w:rPr>
        <w:t xml:space="preserve"> en muy pocas causas se alcanzan condenas, y en aquellos procesos que terminan con una sentencia condenatoria, dura</w:t>
      </w:r>
      <w:r w:rsidR="00FF11B3">
        <w:rPr>
          <w:color w:val="000000"/>
        </w:rPr>
        <w:t>n en promedio más de una década;</w:t>
      </w:r>
    </w:p>
    <w:p w:rsidR="00FF11B3" w:rsidRPr="00A86CD3" w:rsidRDefault="00FF11B3" w:rsidP="004A7815">
      <w:pPr>
        <w:pBdr>
          <w:top w:val="nil"/>
          <w:left w:val="nil"/>
          <w:bottom w:val="nil"/>
          <w:right w:val="nil"/>
          <w:between w:val="nil"/>
        </w:pBdr>
        <w:shd w:val="clear" w:color="auto" w:fill="FFFFFF"/>
        <w:rPr>
          <w:color w:val="000000"/>
        </w:rPr>
      </w:pPr>
    </w:p>
    <w:p w:rsidR="004A7815" w:rsidRDefault="004A7815" w:rsidP="004A7815">
      <w:r w:rsidRPr="00A86CD3">
        <w:tab/>
      </w:r>
      <w:r w:rsidR="00FF11B3">
        <w:t>Que l</w:t>
      </w:r>
      <w:r w:rsidRPr="00A86CD3">
        <w:t>as normas actuales establecen ciertas exclusiones y prohibiciones para sufragar y ser candidato, las cuales han sido mo</w:t>
      </w:r>
      <w:r w:rsidR="00FF11B3">
        <w:t xml:space="preserve">dificadas a lo largo del tiempo; </w:t>
      </w:r>
    </w:p>
    <w:p w:rsidR="00FF11B3" w:rsidRPr="00A86CD3" w:rsidRDefault="00FF11B3" w:rsidP="004A7815"/>
    <w:p w:rsidR="004A7815" w:rsidRDefault="004A7815" w:rsidP="004A7815">
      <w:r w:rsidRPr="00A86CD3">
        <w:tab/>
      </w:r>
      <w:r w:rsidR="00FF11B3">
        <w:t>Que c</w:t>
      </w:r>
      <w:r w:rsidRPr="00A86CD3">
        <w:t>on el fin de elevar el estándar ético que deben tener nuestros representantes, y proteger a las instituciones y sus ámbitos, ciertas conductas no pueden ser aceptadas en personas que tengan la intención de formar par</w:t>
      </w:r>
      <w:r w:rsidR="00FF11B3">
        <w:t xml:space="preserve">te de la administración pública; </w:t>
      </w:r>
    </w:p>
    <w:p w:rsidR="00FF11B3" w:rsidRPr="00A86CD3" w:rsidRDefault="00FF11B3" w:rsidP="004A7815"/>
    <w:p w:rsidR="00FF11B3" w:rsidRDefault="004A7815" w:rsidP="004A7815">
      <w:pPr>
        <w:pBdr>
          <w:top w:val="nil"/>
          <w:left w:val="nil"/>
          <w:bottom w:val="nil"/>
          <w:right w:val="nil"/>
          <w:between w:val="nil"/>
        </w:pBdr>
        <w:shd w:val="clear" w:color="auto" w:fill="FFFFFF"/>
        <w:rPr>
          <w:color w:val="000000"/>
        </w:rPr>
      </w:pPr>
      <w:r w:rsidRPr="00A86CD3">
        <w:rPr>
          <w:color w:val="000000"/>
        </w:rPr>
        <w:tab/>
      </w:r>
      <w:r w:rsidR="00FF11B3">
        <w:rPr>
          <w:color w:val="000000"/>
        </w:rPr>
        <w:t>Que e</w:t>
      </w:r>
      <w:r w:rsidRPr="00A86CD3">
        <w:rPr>
          <w:color w:val="000000"/>
        </w:rPr>
        <w:t xml:space="preserve">l 25 de octubre de 2018 se sancionó la Ley N° 6031 que </w:t>
      </w:r>
      <w:r w:rsidRPr="00A86CD3">
        <w:t>consagró el Código</w:t>
      </w:r>
      <w:r w:rsidRPr="00A86CD3">
        <w:rPr>
          <w:color w:val="000000"/>
        </w:rPr>
        <w:t xml:space="preserve"> Electoral, materia prevista en la Constitución de la </w:t>
      </w:r>
      <w:r w:rsidR="00FF11B3">
        <w:rPr>
          <w:color w:val="000000"/>
        </w:rPr>
        <w:t>Ciudad Autónoma de Buenos Aires;</w:t>
      </w:r>
    </w:p>
    <w:p w:rsidR="004A7815" w:rsidRDefault="00FF11B3" w:rsidP="00FF11B3">
      <w:pPr>
        <w:pBdr>
          <w:top w:val="nil"/>
          <w:left w:val="nil"/>
          <w:bottom w:val="nil"/>
          <w:right w:val="nil"/>
          <w:between w:val="nil"/>
        </w:pBdr>
        <w:shd w:val="clear" w:color="auto" w:fill="FFFFFF"/>
        <w:ind w:firstLine="720"/>
        <w:rPr>
          <w:color w:val="000000"/>
        </w:rPr>
      </w:pPr>
      <w:r>
        <w:rPr>
          <w:color w:val="000000"/>
        </w:rPr>
        <w:t>Que e</w:t>
      </w:r>
      <w:r w:rsidR="004A7815" w:rsidRPr="00A86CD3">
        <w:rPr>
          <w:color w:val="000000"/>
        </w:rPr>
        <w:t>s en el Código Electoral donde corresponde inscribir esta limitación para ser precandidato, dado que el Título Sexto regula las Primarias Abiertas, Simultáneas y Obligatorias, y determina quiénes no pueden ser precandidatos</w:t>
      </w:r>
      <w:r>
        <w:rPr>
          <w:color w:val="000000"/>
        </w:rPr>
        <w:t>;</w:t>
      </w:r>
    </w:p>
    <w:p w:rsidR="00FF11B3" w:rsidRPr="00A86CD3" w:rsidRDefault="00FF11B3" w:rsidP="00FF11B3">
      <w:pPr>
        <w:pBdr>
          <w:top w:val="nil"/>
          <w:left w:val="nil"/>
          <w:bottom w:val="nil"/>
          <w:right w:val="nil"/>
          <w:between w:val="nil"/>
        </w:pBdr>
        <w:shd w:val="clear" w:color="auto" w:fill="FFFFFF"/>
        <w:ind w:firstLine="720"/>
        <w:rPr>
          <w:color w:val="000000"/>
        </w:rPr>
      </w:pPr>
    </w:p>
    <w:p w:rsidR="004A7815" w:rsidRPr="00A86CD3" w:rsidRDefault="004A7815" w:rsidP="004A7815">
      <w:r w:rsidRPr="00A86CD3">
        <w:tab/>
      </w:r>
      <w:r w:rsidR="00FF11B3">
        <w:t>Que e</w:t>
      </w:r>
      <w:r w:rsidRPr="00A86CD3">
        <w:t>s sin duda, en el ámbito del Derecho Electoral, donde se deben establecer las condiciones para favorecer el funcionamiento y la transparencia institucional de nuestro país, sin perjuicio de la aplicación del derecho penal en el ámbito correspondiente</w:t>
      </w:r>
      <w:r w:rsidR="00FF11B3">
        <w:t>;</w:t>
      </w:r>
      <w:r w:rsidRPr="00A86CD3">
        <w:t xml:space="preserve">  </w:t>
      </w:r>
    </w:p>
    <w:p w:rsidR="00A86CD3" w:rsidRPr="00A86CD3" w:rsidRDefault="004A7815" w:rsidP="004A7815">
      <w:pPr>
        <w:pBdr>
          <w:top w:val="nil"/>
          <w:left w:val="nil"/>
          <w:bottom w:val="nil"/>
          <w:right w:val="nil"/>
          <w:between w:val="nil"/>
        </w:pBdr>
        <w:shd w:val="clear" w:color="auto" w:fill="FFFFFF"/>
        <w:rPr>
          <w:color w:val="000000"/>
        </w:rPr>
      </w:pPr>
      <w:r w:rsidRPr="00A86CD3">
        <w:rPr>
          <w:color w:val="000000"/>
        </w:rPr>
        <w:tab/>
      </w:r>
    </w:p>
    <w:p w:rsidR="004A7815" w:rsidRPr="00A86CD3" w:rsidRDefault="00A86CD3" w:rsidP="004A7815">
      <w:pPr>
        <w:pBdr>
          <w:top w:val="nil"/>
          <w:left w:val="nil"/>
          <w:bottom w:val="nil"/>
          <w:right w:val="nil"/>
          <w:between w:val="nil"/>
        </w:pBdr>
        <w:shd w:val="clear" w:color="auto" w:fill="FFFFFF"/>
        <w:rPr>
          <w:b/>
          <w:color w:val="000000"/>
        </w:rPr>
      </w:pPr>
      <w:r w:rsidRPr="00A86CD3">
        <w:t>Por lo expuesto la Comisión de Asuntos Constitucionales aconseja la aprobación de la siguiente:</w:t>
      </w:r>
    </w:p>
    <w:p w:rsidR="004A7815" w:rsidRPr="00A86CD3" w:rsidRDefault="004A7815" w:rsidP="00733131">
      <w:pPr>
        <w:shd w:val="clear" w:color="auto" w:fill="FFFFFF"/>
        <w:spacing w:before="240" w:after="240" w:line="360" w:lineRule="auto"/>
        <w:ind w:firstLine="708"/>
        <w:rPr>
          <w:b/>
        </w:rPr>
      </w:pPr>
    </w:p>
    <w:p w:rsidR="00A86CD3" w:rsidRPr="00FF11B3" w:rsidRDefault="00A86CD3" w:rsidP="00A86CD3">
      <w:pPr>
        <w:shd w:val="clear" w:color="auto" w:fill="FFFFFF"/>
        <w:spacing w:before="240" w:after="240" w:line="360" w:lineRule="auto"/>
        <w:ind w:firstLine="708"/>
        <w:jc w:val="center"/>
        <w:rPr>
          <w:b/>
          <w:sz w:val="28"/>
          <w:szCs w:val="28"/>
          <w:u w:val="single"/>
        </w:rPr>
      </w:pPr>
      <w:r w:rsidRPr="00FF11B3">
        <w:rPr>
          <w:b/>
          <w:sz w:val="28"/>
          <w:szCs w:val="28"/>
          <w:u w:val="single"/>
        </w:rPr>
        <w:t>LEY</w:t>
      </w:r>
    </w:p>
    <w:p w:rsidR="004A7815" w:rsidRPr="00A86CD3" w:rsidRDefault="004A7815" w:rsidP="004A7815">
      <w:r w:rsidRPr="00A86CD3">
        <w:rPr>
          <w:b/>
        </w:rPr>
        <w:t>Artículo 1°.-</w:t>
      </w:r>
      <w:r w:rsidRPr="00A86CD3">
        <w:t xml:space="preserve"> Modifíquese el artículo 77 del Anexo I del Código Electoral - Ley N° 6031, el que quedará redactado de la siguiente forma:  </w:t>
      </w:r>
    </w:p>
    <w:p w:rsidR="004A7815" w:rsidRPr="00A86CD3" w:rsidRDefault="004A7815" w:rsidP="004A7815"/>
    <w:p w:rsidR="004A7815" w:rsidRPr="004F73CF" w:rsidRDefault="004F73CF" w:rsidP="004A7815">
      <w:pPr>
        <w:pBdr>
          <w:top w:val="nil"/>
          <w:left w:val="nil"/>
          <w:bottom w:val="nil"/>
          <w:right w:val="nil"/>
          <w:between w:val="nil"/>
        </w:pBdr>
        <w:ind w:left="567" w:right="567"/>
        <w:rPr>
          <w:i/>
          <w:color w:val="000000"/>
        </w:rPr>
      </w:pPr>
      <w:r>
        <w:rPr>
          <w:color w:val="000000"/>
        </w:rPr>
        <w:t>“</w:t>
      </w:r>
      <w:r w:rsidR="004A7815" w:rsidRPr="004F73CF">
        <w:rPr>
          <w:i/>
          <w:color w:val="000000"/>
        </w:rPr>
        <w:t xml:space="preserve">Artículo 77.- Precandidaturas. La designación de los/as precandidatos/as es exclusiva de las agrupaciones políticas, quienes deben respetar las respectivas cartas orgánicas y los recaudos establecidos en la Constitución de la Ciudad de Buenos Aires, en el presente Código y en las demás normas electorales vigentes. </w:t>
      </w:r>
    </w:p>
    <w:p w:rsidR="004A7815" w:rsidRPr="004F73CF" w:rsidRDefault="004A7815" w:rsidP="004A7815">
      <w:pPr>
        <w:pBdr>
          <w:top w:val="nil"/>
          <w:left w:val="nil"/>
          <w:bottom w:val="nil"/>
          <w:right w:val="nil"/>
          <w:between w:val="nil"/>
        </w:pBdr>
        <w:ind w:left="567" w:right="567"/>
        <w:rPr>
          <w:i/>
          <w:color w:val="000000"/>
        </w:rPr>
      </w:pPr>
      <w:r w:rsidRPr="004F73CF">
        <w:rPr>
          <w:i/>
          <w:color w:val="000000"/>
        </w:rPr>
        <w:t>Son causales de inelegibilidad y, por tanto, no pueden ser precandidatos/as en elecciones primarias ni candidatos en elecciones generales a cargos públicos electivos de la Ciudad Autónoma de Buenos Aires aquellos/as que se encuentren con procesamiento firme por la comisión de delito de lesa humanidad o por haber actuado en contra de las instituciones democráticas en los términos del artículo 36 de la Constitución Nacional y los condenados por:</w:t>
      </w:r>
    </w:p>
    <w:p w:rsidR="004A7815" w:rsidRPr="004F73CF" w:rsidRDefault="004A7815" w:rsidP="004A7815">
      <w:pPr>
        <w:pBdr>
          <w:top w:val="nil"/>
          <w:left w:val="nil"/>
          <w:bottom w:val="nil"/>
          <w:right w:val="nil"/>
          <w:between w:val="nil"/>
        </w:pBdr>
        <w:ind w:left="567" w:right="567"/>
        <w:rPr>
          <w:i/>
          <w:color w:val="000000"/>
        </w:rPr>
      </w:pPr>
    </w:p>
    <w:p w:rsidR="004A7815" w:rsidRPr="004F73CF" w:rsidRDefault="004A7815" w:rsidP="004A7815">
      <w:pPr>
        <w:numPr>
          <w:ilvl w:val="0"/>
          <w:numId w:val="3"/>
        </w:numPr>
        <w:pBdr>
          <w:top w:val="nil"/>
          <w:left w:val="nil"/>
          <w:bottom w:val="nil"/>
          <w:right w:val="nil"/>
          <w:between w:val="nil"/>
        </w:pBdr>
        <w:suppressAutoHyphens/>
        <w:ind w:left="1247" w:right="567"/>
        <w:rPr>
          <w:i/>
          <w:color w:val="000000"/>
        </w:rPr>
      </w:pPr>
      <w:r w:rsidRPr="004F73CF">
        <w:rPr>
          <w:i/>
          <w:color w:val="000000"/>
        </w:rPr>
        <w:t>Delitos contra la integridad sexual comprendidos en los artículos 119°, 120°, 124° a 128°, 130°, 131° y 133° del Título III del Lib</w:t>
      </w:r>
      <w:r w:rsidR="004F73CF" w:rsidRPr="004F73CF">
        <w:rPr>
          <w:i/>
          <w:color w:val="000000"/>
        </w:rPr>
        <w:t>ro Segundo del Código Penal.</w:t>
      </w:r>
    </w:p>
    <w:p w:rsidR="004A7815" w:rsidRPr="004F73CF" w:rsidRDefault="004A7815" w:rsidP="004A7815">
      <w:pPr>
        <w:numPr>
          <w:ilvl w:val="0"/>
          <w:numId w:val="3"/>
        </w:numPr>
        <w:pBdr>
          <w:top w:val="nil"/>
          <w:left w:val="nil"/>
          <w:bottom w:val="nil"/>
          <w:right w:val="nil"/>
          <w:between w:val="nil"/>
        </w:pBdr>
        <w:suppressAutoHyphens/>
        <w:ind w:left="1247" w:right="567"/>
        <w:rPr>
          <w:i/>
          <w:color w:val="000000"/>
        </w:rPr>
      </w:pPr>
      <w:r w:rsidRPr="004F73CF">
        <w:rPr>
          <w:i/>
          <w:color w:val="000000"/>
        </w:rPr>
        <w:lastRenderedPageBreak/>
        <w:t>Delitos contra la administración pública comprendidos en los capítulos VI, VII, VIII, IX, IX bis y XIII del Título XI del</w:t>
      </w:r>
      <w:r w:rsidR="004F73CF" w:rsidRPr="004F73CF">
        <w:rPr>
          <w:i/>
          <w:color w:val="000000"/>
        </w:rPr>
        <w:t xml:space="preserve"> Libro Segundo del Código Penal.</w:t>
      </w:r>
    </w:p>
    <w:p w:rsidR="004A7815" w:rsidRPr="004F73CF" w:rsidRDefault="004A7815" w:rsidP="004A7815">
      <w:pPr>
        <w:numPr>
          <w:ilvl w:val="0"/>
          <w:numId w:val="3"/>
        </w:numPr>
        <w:pBdr>
          <w:top w:val="nil"/>
          <w:left w:val="nil"/>
          <w:bottom w:val="nil"/>
          <w:right w:val="nil"/>
          <w:between w:val="nil"/>
        </w:pBdr>
        <w:suppressAutoHyphens/>
        <w:ind w:left="1247" w:right="567"/>
        <w:rPr>
          <w:i/>
          <w:color w:val="000000"/>
        </w:rPr>
      </w:pPr>
      <w:r w:rsidRPr="004F73CF">
        <w:rPr>
          <w:i/>
          <w:color w:val="000000"/>
        </w:rPr>
        <w:t>El delito de fraude en perjuicio de la administración pública contemplado en el artíc</w:t>
      </w:r>
      <w:r w:rsidR="004F73CF" w:rsidRPr="004F73CF">
        <w:rPr>
          <w:i/>
          <w:color w:val="000000"/>
        </w:rPr>
        <w:t>ulo 174 inc. 5 del Código Penal.</w:t>
      </w:r>
      <w:r w:rsidRPr="004F73CF">
        <w:rPr>
          <w:i/>
          <w:color w:val="000000"/>
        </w:rPr>
        <w:t xml:space="preserve"> </w:t>
      </w:r>
    </w:p>
    <w:p w:rsidR="004A7815" w:rsidRPr="004F73CF" w:rsidRDefault="004A7815" w:rsidP="004A7815">
      <w:pPr>
        <w:ind w:left="1247" w:right="567"/>
        <w:rPr>
          <w:i/>
        </w:rPr>
      </w:pPr>
    </w:p>
    <w:p w:rsidR="004A7815" w:rsidRPr="004F73CF" w:rsidRDefault="004A7815" w:rsidP="004A7815">
      <w:pPr>
        <w:ind w:left="1247" w:right="567"/>
        <w:rPr>
          <w:i/>
        </w:rPr>
      </w:pPr>
      <w:r w:rsidRPr="004F73CF">
        <w:rPr>
          <w:i/>
        </w:rPr>
        <w:t>El supuesto previsto en el presente artículo se extenderá desde que exista sentencia condenatoria en segunda instancia del proceso hasta su eventual revocación posterior, o bien hasta el cumplimiento de la pena correspondiente.</w:t>
      </w:r>
    </w:p>
    <w:p w:rsidR="004A7815" w:rsidRPr="004F73CF" w:rsidRDefault="004A7815" w:rsidP="004A7815">
      <w:pPr>
        <w:ind w:left="567" w:right="567"/>
        <w:rPr>
          <w:i/>
        </w:rPr>
      </w:pPr>
    </w:p>
    <w:p w:rsidR="004A7815" w:rsidRPr="00A86CD3" w:rsidRDefault="004A7815" w:rsidP="004A7815">
      <w:pPr>
        <w:ind w:left="567" w:right="567"/>
        <w:rPr>
          <w:b/>
          <w:color w:val="000000"/>
        </w:rPr>
      </w:pPr>
      <w:r w:rsidRPr="004F73CF">
        <w:rPr>
          <w:i/>
        </w:rPr>
        <w:t>Los/as precandidatos/as que participen en las elecciones primarias pueden hacerlo en una (1) sola agrupación política y para una (1) sola categoría de cargos electivos. Los/as precandidatos/as que hayan participado en las elecciones primarias por una agrupación política, no pueden intervenir como candidatos/as de otra agrupación política en la elección general.</w:t>
      </w:r>
      <w:r w:rsidR="004F73CF">
        <w:t>”</w:t>
      </w:r>
    </w:p>
    <w:p w:rsidR="004A7815" w:rsidRPr="00A86CD3" w:rsidRDefault="004A7815" w:rsidP="004A7815">
      <w:pPr>
        <w:rPr>
          <w:b/>
          <w:color w:val="000000"/>
        </w:rPr>
      </w:pPr>
    </w:p>
    <w:p w:rsidR="004A7815" w:rsidRPr="00A86CD3" w:rsidRDefault="004A7815" w:rsidP="004A7815">
      <w:r w:rsidRPr="00A86CD3">
        <w:rPr>
          <w:b/>
        </w:rPr>
        <w:t>Artículo</w:t>
      </w:r>
      <w:r w:rsidRPr="00A86CD3">
        <w:rPr>
          <w:b/>
          <w:color w:val="000000"/>
        </w:rPr>
        <w:t xml:space="preserve">. 2°.- </w:t>
      </w:r>
      <w:r w:rsidR="00A86CD3" w:rsidRPr="00A86CD3">
        <w:rPr>
          <w:color w:val="000000"/>
        </w:rPr>
        <w:t>Modificase</w:t>
      </w:r>
      <w:r w:rsidRPr="00A86CD3">
        <w:rPr>
          <w:color w:val="000000"/>
        </w:rPr>
        <w:t xml:space="preserve"> el artículo 80 del Anexo I del Código Electoral - Ley N° 6031, el que quedará redactado </w:t>
      </w:r>
      <w:r w:rsidRPr="00A86CD3">
        <w:t xml:space="preserve">de la siguiente forma:  </w:t>
      </w:r>
    </w:p>
    <w:p w:rsidR="004A7815" w:rsidRPr="00A86CD3" w:rsidRDefault="004A7815" w:rsidP="004A7815"/>
    <w:p w:rsidR="004A7815" w:rsidRPr="004F73CF" w:rsidRDefault="004F73CF" w:rsidP="004A7815">
      <w:pPr>
        <w:shd w:val="clear" w:color="auto" w:fill="FFFFFF"/>
        <w:ind w:left="567" w:right="567"/>
        <w:rPr>
          <w:i/>
          <w:color w:val="000000"/>
        </w:rPr>
      </w:pPr>
      <w:r>
        <w:rPr>
          <w:color w:val="000000"/>
        </w:rPr>
        <w:t>“</w:t>
      </w:r>
      <w:r w:rsidR="004A7815" w:rsidRPr="004F73CF">
        <w:rPr>
          <w:i/>
          <w:color w:val="000000"/>
        </w:rPr>
        <w:t>Artículo 80.- Pedido de reconocimiento y oficialización de listas de precandidatos/as. Requisitos. Para obtener el reconocimiento, las listas de precandidatos/as intervinientes deben registrarse ante la Junta Electoral de la Agrupación Política, no menos de cincuenta (50) días corridos antes de las elecciones primarias. Para ser oficializadas, las listas de precandidatos/as deberán incluir:</w:t>
      </w:r>
    </w:p>
    <w:p w:rsidR="004A7815" w:rsidRPr="004F73CF" w:rsidRDefault="004A7815" w:rsidP="004A7815">
      <w:pPr>
        <w:shd w:val="clear" w:color="auto" w:fill="FFFFFF"/>
        <w:ind w:left="1247" w:right="567"/>
        <w:rPr>
          <w:i/>
        </w:rPr>
      </w:pPr>
    </w:p>
    <w:p w:rsidR="004A7815" w:rsidRPr="004F73CF" w:rsidRDefault="004A7815" w:rsidP="004A7815">
      <w:pPr>
        <w:numPr>
          <w:ilvl w:val="0"/>
          <w:numId w:val="1"/>
        </w:numPr>
        <w:shd w:val="clear" w:color="auto" w:fill="FFFFFF"/>
        <w:suppressAutoHyphens/>
        <w:ind w:left="1247" w:right="567"/>
        <w:rPr>
          <w:i/>
        </w:rPr>
      </w:pPr>
      <w:r w:rsidRPr="004F73CF">
        <w:rPr>
          <w:i/>
        </w:rPr>
        <w:t>Nómina de precandidato/a o precandidatos/as igual al número de cargos titulares y suplentes a seleccionar ordenados numéricamente, donde conste apellido, nombre, último domicilio electoral, número de Documento Nacional de Identidad y género. Deberá respetarse el principio de paridad y alternancia de género en la conformación de listas de precandidatos/as para Diputados/as y Miembros de Junta Comunal de forma tal de no incluir a dos (2) personas del mismo género en orden consecutivo.</w:t>
      </w:r>
    </w:p>
    <w:p w:rsidR="004A7815" w:rsidRPr="004F73CF" w:rsidRDefault="004A7815" w:rsidP="004A7815">
      <w:pPr>
        <w:numPr>
          <w:ilvl w:val="0"/>
          <w:numId w:val="1"/>
        </w:numPr>
        <w:shd w:val="clear" w:color="auto" w:fill="FFFFFF"/>
        <w:suppressAutoHyphens/>
        <w:ind w:left="1247" w:right="567"/>
        <w:rPr>
          <w:i/>
        </w:rPr>
      </w:pPr>
      <w:r w:rsidRPr="004F73CF">
        <w:rPr>
          <w:i/>
        </w:rPr>
        <w:t>Nombre de la agrupación política, identificación numérica y denominación de la lista, la que no podrá contener el nombre de personas.</w:t>
      </w:r>
    </w:p>
    <w:p w:rsidR="004A7815" w:rsidRPr="004F73CF" w:rsidRDefault="004A7815" w:rsidP="004A7815">
      <w:pPr>
        <w:numPr>
          <w:ilvl w:val="0"/>
          <w:numId w:val="1"/>
        </w:numPr>
        <w:shd w:val="clear" w:color="auto" w:fill="FFFFFF"/>
        <w:suppressAutoHyphens/>
        <w:ind w:left="1247" w:right="567"/>
        <w:rPr>
          <w:i/>
        </w:rPr>
      </w:pPr>
      <w:r w:rsidRPr="004F73CF">
        <w:rPr>
          <w:i/>
        </w:rPr>
        <w:t>Constancias de aceptación de la postulación, conforme al texto que apruebe el Tribunal Electoral, con copia del Documento Nacional de Identidad donde conste fotografía, datos personales y domicilio de los/as precandidatos/as.</w:t>
      </w:r>
    </w:p>
    <w:p w:rsidR="004A7815" w:rsidRPr="004F73CF" w:rsidRDefault="004A7815" w:rsidP="004A7815">
      <w:pPr>
        <w:numPr>
          <w:ilvl w:val="0"/>
          <w:numId w:val="1"/>
        </w:numPr>
        <w:shd w:val="clear" w:color="auto" w:fill="FFFFFF"/>
        <w:suppressAutoHyphens/>
        <w:ind w:left="1247" w:right="567"/>
        <w:rPr>
          <w:i/>
        </w:rPr>
      </w:pPr>
      <w:r w:rsidRPr="004F73CF">
        <w:rPr>
          <w:i/>
        </w:rPr>
        <w:t>Declaración Jurada de cada uno/a de los/as precandidatos/as, que acredite el cumplimiento de los requisitos constitucionales y legales pertinentes.</w:t>
      </w:r>
    </w:p>
    <w:p w:rsidR="004A7815" w:rsidRPr="004F73CF" w:rsidRDefault="004A7815" w:rsidP="004A7815">
      <w:pPr>
        <w:numPr>
          <w:ilvl w:val="0"/>
          <w:numId w:val="1"/>
        </w:numPr>
        <w:shd w:val="clear" w:color="auto" w:fill="FFFFFF"/>
        <w:suppressAutoHyphens/>
        <w:ind w:left="1247" w:right="567"/>
        <w:rPr>
          <w:i/>
        </w:rPr>
      </w:pPr>
      <w:r w:rsidRPr="004F73CF">
        <w:rPr>
          <w:i/>
        </w:rPr>
        <w:t>Acreditación de la residencia exigida en los casos que corresponda, la cual podrá ser acreditada por cualquier medio de prueba, excepto la testimonial, siempre que figuren inscriptos en el registro de electores/as del distrito.</w:t>
      </w:r>
    </w:p>
    <w:p w:rsidR="004A7815" w:rsidRPr="004F73CF" w:rsidRDefault="004A7815" w:rsidP="004A7815">
      <w:pPr>
        <w:numPr>
          <w:ilvl w:val="0"/>
          <w:numId w:val="1"/>
        </w:numPr>
        <w:shd w:val="clear" w:color="auto" w:fill="FFFFFF"/>
        <w:suppressAutoHyphens/>
        <w:ind w:left="1247" w:right="567"/>
        <w:rPr>
          <w:i/>
        </w:rPr>
      </w:pPr>
      <w:r w:rsidRPr="004F73CF">
        <w:rPr>
          <w:i/>
        </w:rPr>
        <w:t>Designación de apoderados/as de lista y un/a (1) responsable económico financiero de lista con indicación de nombre, apellido, Documento Nacional de Identidad, teléfono, domicilio constituido y correo electrónico de cada uno/a de ellos/as.</w:t>
      </w:r>
    </w:p>
    <w:p w:rsidR="004A7815" w:rsidRPr="004F73CF" w:rsidRDefault="004A7815" w:rsidP="004A7815">
      <w:pPr>
        <w:numPr>
          <w:ilvl w:val="0"/>
          <w:numId w:val="1"/>
        </w:numPr>
        <w:shd w:val="clear" w:color="auto" w:fill="FFFFFF"/>
        <w:suppressAutoHyphens/>
        <w:ind w:left="1247" w:right="567"/>
        <w:rPr>
          <w:i/>
        </w:rPr>
      </w:pPr>
      <w:r w:rsidRPr="004F73CF">
        <w:rPr>
          <w:i/>
        </w:rPr>
        <w:t xml:space="preserve">Las adhesiones que avalen a listas de precandidatos/as a Jefe/a de Gobierno, Diputados/as y Miembros de las juntas comunales deberán estar certificadas de acuerdo con lo establecido en el artículo 76 del </w:t>
      </w:r>
      <w:r w:rsidRPr="004F73CF">
        <w:rPr>
          <w:i/>
        </w:rPr>
        <w:lastRenderedPageBreak/>
        <w:t>presente Código y contener: nombre y apellido, número de Documento Nacional de Identidad, domicilio, correo electrónico, y firma del adherente, así como también la denominación de la lista a la que adhiere.</w:t>
      </w:r>
    </w:p>
    <w:p w:rsidR="004A7815" w:rsidRPr="004F73CF" w:rsidRDefault="004A7815" w:rsidP="004A7815">
      <w:pPr>
        <w:numPr>
          <w:ilvl w:val="0"/>
          <w:numId w:val="1"/>
        </w:numPr>
        <w:shd w:val="clear" w:color="auto" w:fill="FFFFFF"/>
        <w:suppressAutoHyphens/>
        <w:ind w:left="1247" w:right="567"/>
        <w:rPr>
          <w:i/>
        </w:rPr>
      </w:pPr>
      <w:r w:rsidRPr="004F73CF">
        <w:rPr>
          <w:i/>
        </w:rPr>
        <w:t>Plataforma programática y declaración del medio por el cual se difundirá. Toda la documentación detallada deberá ser presentada con un respaldo en soporte digital ante la Junta Electoral de la Agrupación Política.</w:t>
      </w:r>
    </w:p>
    <w:p w:rsidR="004A7815" w:rsidRPr="004F73CF" w:rsidRDefault="004A7815" w:rsidP="004A7815">
      <w:pPr>
        <w:numPr>
          <w:ilvl w:val="0"/>
          <w:numId w:val="1"/>
        </w:numPr>
        <w:shd w:val="clear" w:color="auto" w:fill="FFFFFF"/>
        <w:suppressAutoHyphens/>
        <w:ind w:left="1247" w:right="567"/>
        <w:rPr>
          <w:i/>
        </w:rPr>
      </w:pPr>
      <w:r w:rsidRPr="004F73CF">
        <w:rPr>
          <w:i/>
        </w:rPr>
        <w:t>Certificado de Antecedentes Penales de los/as precandidatos/as emitido por el Registro Nacional de Reincidencia.</w:t>
      </w:r>
    </w:p>
    <w:p w:rsidR="004A7815" w:rsidRPr="004F73CF" w:rsidRDefault="004A7815" w:rsidP="004A7815">
      <w:pPr>
        <w:shd w:val="clear" w:color="auto" w:fill="FFFFFF"/>
        <w:ind w:left="567" w:right="567"/>
        <w:rPr>
          <w:i/>
        </w:rPr>
      </w:pPr>
    </w:p>
    <w:p w:rsidR="004A7815" w:rsidRPr="00A86CD3" w:rsidRDefault="004A7815" w:rsidP="004A7815">
      <w:pPr>
        <w:shd w:val="clear" w:color="auto" w:fill="FFFFFF"/>
        <w:ind w:left="567" w:right="567"/>
      </w:pPr>
      <w:r w:rsidRPr="004F73CF">
        <w:rPr>
          <w:i/>
        </w:rPr>
        <w:t>Dentro de las veinticuatro (24) horas de vencido el plazo para la presentación de listas, deberán presentarse las fotos de los/as precandidatos/as ante la Junta Electoral de la Agrupación Política, conforme lo establezca la reglamentación pertinente.</w:t>
      </w:r>
      <w:r w:rsidR="004F73CF">
        <w:t>”</w:t>
      </w:r>
    </w:p>
    <w:p w:rsidR="004A7815" w:rsidRPr="00A86CD3" w:rsidRDefault="004A7815" w:rsidP="004A7815">
      <w:pPr>
        <w:rPr>
          <w:b/>
        </w:rPr>
      </w:pPr>
    </w:p>
    <w:p w:rsidR="004A7815" w:rsidRPr="00A86CD3" w:rsidRDefault="004A7815" w:rsidP="004A7815">
      <w:r w:rsidRPr="00A86CD3">
        <w:rPr>
          <w:b/>
        </w:rPr>
        <w:t xml:space="preserve">Artículo. 3°.- </w:t>
      </w:r>
      <w:r w:rsidRPr="00A86CD3">
        <w:t xml:space="preserve">Modificase el artículo 103 del Anexo I del Código Electoral - Ley N° 6031, el que quedará redactado de la siguiente forma:  </w:t>
      </w:r>
    </w:p>
    <w:p w:rsidR="004A7815" w:rsidRPr="00A86CD3" w:rsidRDefault="004A7815" w:rsidP="004A7815"/>
    <w:p w:rsidR="004A7815" w:rsidRPr="004F73CF" w:rsidRDefault="004F73CF" w:rsidP="004A7815">
      <w:pPr>
        <w:shd w:val="clear" w:color="auto" w:fill="FFFFFF"/>
        <w:rPr>
          <w:i/>
        </w:rPr>
      </w:pPr>
      <w:r>
        <w:t>“</w:t>
      </w:r>
      <w:r w:rsidR="004A7815" w:rsidRPr="004F73CF">
        <w:rPr>
          <w:i/>
        </w:rPr>
        <w:t>Artículo 103.- Presentación del pedido de oficialización de listas. Junto con el pedido de oficialización de listas, al menos de cincuenta (50) días corridos antes de las elecciones generales, las agrupaciones políticas presentarán ante el Tribunal Electoral, con respaldo en soporte digital, lo siguiente:</w:t>
      </w:r>
    </w:p>
    <w:p w:rsidR="004A7815" w:rsidRPr="004F73CF" w:rsidRDefault="004A7815" w:rsidP="004A7815">
      <w:pPr>
        <w:shd w:val="clear" w:color="auto" w:fill="FFFFFF"/>
        <w:rPr>
          <w:i/>
        </w:rPr>
      </w:pPr>
    </w:p>
    <w:p w:rsidR="004A7815" w:rsidRPr="004F73CF" w:rsidRDefault="004A7815" w:rsidP="004A7815">
      <w:pPr>
        <w:numPr>
          <w:ilvl w:val="0"/>
          <w:numId w:val="2"/>
        </w:numPr>
        <w:shd w:val="clear" w:color="auto" w:fill="FFFFFF"/>
        <w:suppressAutoHyphens/>
        <w:ind w:left="1247"/>
        <w:rPr>
          <w:i/>
        </w:rPr>
      </w:pPr>
      <w:r w:rsidRPr="004F73CF">
        <w:rPr>
          <w:i/>
        </w:rPr>
        <w:t>Una nómina de candidatos/as igual al número de cargos titulares y suplentes a seleccionar ordenados numéricamente donde conste apellido, nombre, número de Documento Nacional de Identidad, último domicilio electoral y género.</w:t>
      </w:r>
    </w:p>
    <w:p w:rsidR="004A7815" w:rsidRPr="004F73CF" w:rsidRDefault="004A7815" w:rsidP="004A7815">
      <w:pPr>
        <w:numPr>
          <w:ilvl w:val="0"/>
          <w:numId w:val="2"/>
        </w:numPr>
        <w:shd w:val="clear" w:color="auto" w:fill="FFFFFF"/>
        <w:suppressAutoHyphens/>
        <w:ind w:left="1247"/>
        <w:rPr>
          <w:i/>
        </w:rPr>
      </w:pPr>
      <w:r w:rsidRPr="004F73CF">
        <w:rPr>
          <w:i/>
        </w:rPr>
        <w:t>Constancias de aceptación de la postulación, de acuerdo al texto que apruebe el Tribunal Electoral, con copia del Documento Nacional de Identidad donde consten fotografía, datos personales y domicilio de los/as candidatos/as.</w:t>
      </w:r>
    </w:p>
    <w:p w:rsidR="004A7815" w:rsidRPr="004F73CF" w:rsidRDefault="004A7815" w:rsidP="004A7815">
      <w:pPr>
        <w:numPr>
          <w:ilvl w:val="0"/>
          <w:numId w:val="2"/>
        </w:numPr>
        <w:shd w:val="clear" w:color="auto" w:fill="FFFFFF"/>
        <w:suppressAutoHyphens/>
        <w:ind w:left="1247"/>
        <w:rPr>
          <w:i/>
        </w:rPr>
      </w:pPr>
      <w:r w:rsidRPr="004F73CF">
        <w:rPr>
          <w:i/>
        </w:rPr>
        <w:t>Declaración jurada de cada uno de los/as candidatos/as que acredite el cumplimiento de los requisitos constitucionales y legales pertinentes.</w:t>
      </w:r>
    </w:p>
    <w:p w:rsidR="004A7815" w:rsidRPr="004F73CF" w:rsidRDefault="004A7815" w:rsidP="004A7815">
      <w:pPr>
        <w:numPr>
          <w:ilvl w:val="0"/>
          <w:numId w:val="2"/>
        </w:numPr>
        <w:shd w:val="clear" w:color="auto" w:fill="FFFFFF"/>
        <w:suppressAutoHyphens/>
        <w:ind w:left="1247"/>
        <w:rPr>
          <w:i/>
        </w:rPr>
      </w:pPr>
      <w:r w:rsidRPr="004F73CF">
        <w:rPr>
          <w:i/>
        </w:rPr>
        <w:t>Declaración Jurada Patrimonial de los/as candidatos/as Titulares de la lista, de acuerdo con el detalle establecido en el artículo 104.</w:t>
      </w:r>
    </w:p>
    <w:p w:rsidR="004A7815" w:rsidRPr="004F73CF" w:rsidRDefault="004A7815" w:rsidP="004A7815">
      <w:pPr>
        <w:numPr>
          <w:ilvl w:val="0"/>
          <w:numId w:val="2"/>
        </w:numPr>
        <w:shd w:val="clear" w:color="auto" w:fill="FFFFFF"/>
        <w:suppressAutoHyphens/>
        <w:ind w:left="1247"/>
        <w:rPr>
          <w:i/>
        </w:rPr>
      </w:pPr>
      <w:r w:rsidRPr="004F73CF">
        <w:rPr>
          <w:i/>
        </w:rPr>
        <w:t>Constancia pertinente que acredite la residencia exigida de los/as candidatos/as, en los casos en que corresponda, la cual podrá ser acreditada por cualquier medio de prueba, excepto la testimonial, siempre que figuren inscriptos en el registro de electores del distrito.</w:t>
      </w:r>
    </w:p>
    <w:p w:rsidR="004A7815" w:rsidRPr="004F73CF" w:rsidRDefault="004A7815" w:rsidP="004A7815">
      <w:pPr>
        <w:numPr>
          <w:ilvl w:val="0"/>
          <w:numId w:val="2"/>
        </w:numPr>
        <w:shd w:val="clear" w:color="auto" w:fill="FFFFFF"/>
        <w:suppressAutoHyphens/>
        <w:ind w:left="1247"/>
        <w:rPr>
          <w:i/>
          <w:color w:val="000000"/>
        </w:rPr>
      </w:pPr>
      <w:r w:rsidRPr="004F73CF">
        <w:rPr>
          <w:i/>
        </w:rPr>
        <w:t>Designación de apoderado/a o apoderados/as de lista, consignando Documento Nacional de Identidad, teléfono, domicilio constituido y correo electrónico.</w:t>
      </w:r>
    </w:p>
    <w:p w:rsidR="004A7815" w:rsidRPr="004F73CF" w:rsidRDefault="004A7815" w:rsidP="004A7815">
      <w:pPr>
        <w:numPr>
          <w:ilvl w:val="0"/>
          <w:numId w:val="2"/>
        </w:numPr>
        <w:shd w:val="clear" w:color="auto" w:fill="FFFFFF"/>
        <w:suppressAutoHyphens/>
        <w:ind w:left="1247"/>
        <w:rPr>
          <w:i/>
        </w:rPr>
      </w:pPr>
      <w:r w:rsidRPr="004F73CF">
        <w:rPr>
          <w:i/>
          <w:color w:val="000000"/>
        </w:rPr>
        <w:t>Certificado de Antecedentes Penales de los/as precandidatos/as emitido por el Registro Nacional de Reincidencia.</w:t>
      </w:r>
    </w:p>
    <w:p w:rsidR="004A7815" w:rsidRPr="004F73CF" w:rsidRDefault="004A7815" w:rsidP="004A7815">
      <w:pPr>
        <w:shd w:val="clear" w:color="auto" w:fill="FFFFFF"/>
        <w:ind w:left="720"/>
        <w:rPr>
          <w:i/>
        </w:rPr>
      </w:pPr>
    </w:p>
    <w:p w:rsidR="004A7815" w:rsidRPr="004F73CF" w:rsidRDefault="004A7815" w:rsidP="004A7815">
      <w:pPr>
        <w:shd w:val="clear" w:color="auto" w:fill="FFFFFF"/>
        <w:rPr>
          <w:i/>
        </w:rPr>
      </w:pPr>
      <w:r w:rsidRPr="004F73CF">
        <w:rPr>
          <w:i/>
        </w:rPr>
        <w:t xml:space="preserve">El Tribunal Electoral controla de oficio el cumplimiento de los requisitos previo a la oficialización de cada lista de candidatos/as. No será oficializada ninguna lista que no cumpla estos requisitos, ni que incluya candidatos/as que no hubieran resultado electos/as en las elecciones primarias por la misma agrupación política y por la misma categoría por la que se presentan, excepto en el caso de la candidatura de Vicejefe/a de Gobierno, de acuerdo con lo establecido en el artículo 99 y en el caso de renuncia, fallecimiento o incapacidad conforme lo dispuesto en el presente Código. </w:t>
      </w:r>
    </w:p>
    <w:p w:rsidR="004A7815" w:rsidRPr="004F73CF" w:rsidRDefault="004A7815" w:rsidP="004A7815">
      <w:pPr>
        <w:shd w:val="clear" w:color="auto" w:fill="FFFFFF"/>
        <w:rPr>
          <w:i/>
        </w:rPr>
      </w:pPr>
      <w:r w:rsidRPr="004F73CF">
        <w:rPr>
          <w:i/>
        </w:rPr>
        <w:t xml:space="preserve">Si la omisión en el pedido de oficialización refiere a la Declaración Jurada Patrimonial prevista en el inciso 4) del presente artículo o al Certificado de Antecedentes Penales previsto en el inciso 7), la lista será oficializada reemplazando al/la candidato/a a quien </w:t>
      </w:r>
      <w:r w:rsidRPr="004F73CF">
        <w:rPr>
          <w:i/>
        </w:rPr>
        <w:lastRenderedPageBreak/>
        <w:t>correspondiera la Declaración Jurada omitida o al Certificado de Antecedentes Penales omitido, mediante los mecanismos previstos en los artículos 107, 108 o 109.</w:t>
      </w:r>
    </w:p>
    <w:p w:rsidR="004A7815" w:rsidRPr="004F73CF" w:rsidRDefault="004A7815" w:rsidP="004A7815">
      <w:r w:rsidRPr="004F73CF">
        <w:rPr>
          <w:i/>
        </w:rPr>
        <w:t>De advertirse, con posterioridad a las elecciones, que algún/a candidato/a electo/a registra antecedentes por los delitos enumerados en el artículo 77, la situación será inmediatamente comunicada a la Legislatura de la Ciudad Autónoma de Buenos Aires en los términos del artículo 92 de la Constitución de la Ciudad de Buenos Aires o el artículo 24 de la Ley N° 1.777 (texto ordenado Ley N° 6.017), según corresponda</w:t>
      </w:r>
      <w:r w:rsidR="004F73CF">
        <w:rPr>
          <w:i/>
        </w:rPr>
        <w:t>.</w:t>
      </w:r>
      <w:r w:rsidR="004F73CF">
        <w:t>”</w:t>
      </w:r>
    </w:p>
    <w:p w:rsidR="004A7815" w:rsidRPr="00A86CD3" w:rsidRDefault="004A7815" w:rsidP="004A7815">
      <w:pPr>
        <w:rPr>
          <w:b/>
        </w:rPr>
      </w:pPr>
    </w:p>
    <w:p w:rsidR="004A7815" w:rsidRPr="00A86CD3" w:rsidRDefault="004F73CF" w:rsidP="004A7815">
      <w:r w:rsidRPr="004F73CF">
        <w:rPr>
          <w:b/>
        </w:rPr>
        <w:t>Artículo</w:t>
      </w:r>
      <w:r w:rsidR="004A7815" w:rsidRPr="004F73CF">
        <w:rPr>
          <w:b/>
        </w:rPr>
        <w:t xml:space="preserve"> 4°.-</w:t>
      </w:r>
      <w:r w:rsidR="004A7815" w:rsidRPr="00A86CD3">
        <w:rPr>
          <w:b/>
        </w:rPr>
        <w:t xml:space="preserve"> </w:t>
      </w:r>
      <w:r w:rsidR="004A7815" w:rsidRPr="00A86CD3">
        <w:t>Comuníquese, etc.</w:t>
      </w:r>
    </w:p>
    <w:p w:rsidR="00A86CD3" w:rsidRPr="00A86CD3" w:rsidRDefault="00A86CD3" w:rsidP="00A86CD3"/>
    <w:p w:rsidR="00FF11B3" w:rsidRDefault="00FF11B3" w:rsidP="00A86CD3"/>
    <w:p w:rsidR="00FF11B3" w:rsidRDefault="00FF11B3" w:rsidP="00A86CD3"/>
    <w:p w:rsidR="00FF11B3" w:rsidRDefault="00FF11B3" w:rsidP="00A86CD3"/>
    <w:p w:rsidR="000C3107" w:rsidRPr="00A86CD3" w:rsidRDefault="00EC42F5" w:rsidP="00FF11B3">
      <w:pPr>
        <w:jc w:val="right"/>
        <w:rPr>
          <w:b/>
          <w:color w:val="000000"/>
        </w:rPr>
      </w:pPr>
      <w:r w:rsidRPr="00A86CD3">
        <w:t>Sala</w:t>
      </w:r>
      <w:r w:rsidR="00A86CD3" w:rsidRPr="00A86CD3">
        <w:t xml:space="preserve"> de la Comi</w:t>
      </w:r>
      <w:r w:rsidR="004F73CF">
        <w:t>sión: ___ de</w:t>
      </w:r>
      <w:r w:rsidR="00C4198C">
        <w:t xml:space="preserve"> </w:t>
      </w:r>
      <w:r w:rsidRPr="00A86CD3">
        <w:t xml:space="preserve"> </w:t>
      </w:r>
      <w:r w:rsidR="004F73CF">
        <w:t xml:space="preserve">Octubre </w:t>
      </w:r>
      <w:r w:rsidRPr="00A86CD3">
        <w:t>de 2022</w:t>
      </w:r>
    </w:p>
    <w:p w:rsidR="000C3107" w:rsidRPr="00A86CD3" w:rsidRDefault="00EC42F5" w:rsidP="00FF11B3">
      <w:pPr>
        <w:spacing w:before="240" w:after="240" w:line="360" w:lineRule="auto"/>
        <w:ind w:left="3828"/>
        <w:jc w:val="right"/>
      </w:pPr>
      <w:r w:rsidRPr="00A86CD3">
        <w:t xml:space="preserve"> </w:t>
      </w:r>
    </w:p>
    <w:p w:rsidR="000C3107" w:rsidRPr="00A86CD3" w:rsidRDefault="00EC42F5">
      <w:pPr>
        <w:spacing w:before="240" w:after="240" w:line="360" w:lineRule="auto"/>
        <w:ind w:left="3828"/>
      </w:pPr>
      <w:r w:rsidRPr="00A86CD3">
        <w:t xml:space="preserve">             </w:t>
      </w:r>
    </w:p>
    <w:p w:rsidR="000C3107" w:rsidRPr="00A86CD3" w:rsidRDefault="00EC42F5">
      <w:pPr>
        <w:spacing w:before="240" w:after="240"/>
        <w:ind w:left="3828"/>
      </w:pPr>
      <w:r w:rsidRPr="00A86CD3">
        <w:t xml:space="preserve">          </w:t>
      </w:r>
      <w:r w:rsidR="00FF11B3">
        <w:t xml:space="preserve">                        </w:t>
      </w:r>
      <w:r w:rsidRPr="00A86CD3">
        <w:t xml:space="preserve">    Reyes, Hernán </w:t>
      </w:r>
    </w:p>
    <w:p w:rsidR="000C3107" w:rsidRPr="00A86CD3" w:rsidRDefault="00FF11B3">
      <w:pPr>
        <w:spacing w:before="240" w:after="240"/>
        <w:ind w:left="3828"/>
        <w:rPr>
          <w:b/>
        </w:rPr>
      </w:pPr>
      <w:r>
        <w:tab/>
      </w:r>
      <w:r>
        <w:tab/>
        <w:t xml:space="preserve">                  </w:t>
      </w:r>
      <w:r w:rsidR="00EC42F5" w:rsidRPr="00A86CD3">
        <w:rPr>
          <w:b/>
        </w:rPr>
        <w:t xml:space="preserve"> Presidente</w:t>
      </w:r>
    </w:p>
    <w:p w:rsidR="000C3107" w:rsidRPr="00A86CD3" w:rsidRDefault="000C3107">
      <w:pPr>
        <w:tabs>
          <w:tab w:val="left" w:pos="4962"/>
        </w:tabs>
        <w:spacing w:before="240" w:after="240"/>
      </w:pPr>
    </w:p>
    <w:p w:rsidR="000C3107" w:rsidRPr="00A86CD3" w:rsidRDefault="000C3107">
      <w:pPr>
        <w:tabs>
          <w:tab w:val="left" w:pos="4962"/>
        </w:tabs>
        <w:spacing w:before="240" w:after="240"/>
      </w:pPr>
    </w:p>
    <w:p w:rsidR="000C3107" w:rsidRPr="00A86CD3" w:rsidRDefault="00FF11B3">
      <w:pPr>
        <w:tabs>
          <w:tab w:val="left" w:pos="4962"/>
        </w:tabs>
        <w:spacing w:before="240" w:after="240"/>
      </w:pPr>
      <w:r>
        <w:t xml:space="preserve">Parry, María Inés                                                          </w:t>
      </w:r>
      <w:r w:rsidR="00EC42F5" w:rsidRPr="00A86CD3">
        <w:t xml:space="preserve">    Segura Rattagan, Cecilia</w:t>
      </w:r>
    </w:p>
    <w:p w:rsidR="000C3107" w:rsidRPr="00A86CD3" w:rsidRDefault="00EC42F5">
      <w:pPr>
        <w:tabs>
          <w:tab w:val="left" w:pos="5400"/>
        </w:tabs>
        <w:spacing w:before="240" w:after="240"/>
        <w:rPr>
          <w:b/>
        </w:rPr>
      </w:pPr>
      <w:r w:rsidRPr="00A86CD3">
        <w:t xml:space="preserve"> </w:t>
      </w:r>
      <w:r w:rsidRPr="00A86CD3">
        <w:rPr>
          <w:b/>
        </w:rPr>
        <w:t>Vicepresidente 1º</w:t>
      </w:r>
      <w:r w:rsidR="00FF11B3">
        <w:tab/>
      </w:r>
      <w:r w:rsidRPr="00A86CD3">
        <w:t xml:space="preserve">   </w:t>
      </w:r>
      <w:r w:rsidRPr="00A86CD3">
        <w:rPr>
          <w:b/>
        </w:rPr>
        <w:t>Vicepresidente 2º</w:t>
      </w:r>
    </w:p>
    <w:p w:rsidR="000C3107" w:rsidRPr="00A86CD3" w:rsidRDefault="00EC42F5">
      <w:pPr>
        <w:tabs>
          <w:tab w:val="left" w:pos="5529"/>
        </w:tabs>
        <w:spacing w:before="240" w:after="240" w:line="360" w:lineRule="auto"/>
      </w:pPr>
      <w:r w:rsidRPr="00A86CD3">
        <w:t xml:space="preserve"> </w:t>
      </w:r>
    </w:p>
    <w:p w:rsidR="000C3107" w:rsidRPr="00A86CD3" w:rsidRDefault="000C3107">
      <w:pPr>
        <w:spacing w:before="240" w:after="240" w:line="360" w:lineRule="auto"/>
      </w:pPr>
    </w:p>
    <w:p w:rsidR="000C3107" w:rsidRPr="00A86CD3" w:rsidRDefault="00EC42F5">
      <w:pPr>
        <w:spacing w:before="240" w:after="240" w:line="360" w:lineRule="auto"/>
      </w:pPr>
      <w:r w:rsidRPr="00A86CD3">
        <w:t xml:space="preserve">Arenaza, Juan Pablo                                                       García de García Vilas, Diego                                                                     </w:t>
      </w:r>
    </w:p>
    <w:p w:rsidR="000C3107" w:rsidRPr="00A86CD3" w:rsidRDefault="000C3107">
      <w:pPr>
        <w:tabs>
          <w:tab w:val="left" w:pos="5529"/>
        </w:tabs>
        <w:spacing w:before="240" w:after="240" w:line="360" w:lineRule="auto"/>
      </w:pPr>
    </w:p>
    <w:p w:rsidR="000C3107" w:rsidRPr="00A86CD3" w:rsidRDefault="00EC42F5">
      <w:pPr>
        <w:tabs>
          <w:tab w:val="left" w:pos="5529"/>
        </w:tabs>
        <w:spacing w:before="240" w:after="240" w:line="360" w:lineRule="auto"/>
      </w:pPr>
      <w:r w:rsidRPr="00A86CD3">
        <w:t xml:space="preserve"> Michielotto, Paola                                                          Ferrero, Cecilia</w:t>
      </w:r>
      <w:r w:rsidRPr="00A86CD3">
        <w:tab/>
      </w:r>
      <w:r w:rsidRPr="00A86CD3">
        <w:tab/>
      </w:r>
      <w:r w:rsidRPr="00A86CD3">
        <w:tab/>
      </w:r>
    </w:p>
    <w:p w:rsidR="000C3107" w:rsidRPr="00A86CD3" w:rsidRDefault="000C3107">
      <w:pPr>
        <w:spacing w:before="240" w:after="240" w:line="360" w:lineRule="auto"/>
      </w:pPr>
    </w:p>
    <w:p w:rsidR="000C3107" w:rsidRPr="00A86CD3" w:rsidRDefault="00EC42F5">
      <w:pPr>
        <w:spacing w:before="240" w:after="240" w:line="360" w:lineRule="auto"/>
      </w:pPr>
      <w:r w:rsidRPr="00A86CD3">
        <w:t xml:space="preserve"> Fidel, Natalia</w:t>
      </w:r>
      <w:r w:rsidRPr="00A86CD3">
        <w:tab/>
      </w:r>
      <w:r w:rsidRPr="00A86CD3">
        <w:tab/>
      </w:r>
      <w:r w:rsidRPr="00A86CD3">
        <w:tab/>
      </w:r>
      <w:r w:rsidRPr="00A86CD3">
        <w:tab/>
      </w:r>
      <w:r w:rsidRPr="00A86CD3">
        <w:tab/>
      </w:r>
      <w:r w:rsidRPr="00A86CD3">
        <w:tab/>
        <w:t xml:space="preserve">   Villafruela, Gimena                                                                                </w:t>
      </w:r>
    </w:p>
    <w:p w:rsidR="000C3107" w:rsidRPr="00A86CD3" w:rsidRDefault="004F73CF">
      <w:pPr>
        <w:spacing w:before="240" w:after="240" w:line="360" w:lineRule="auto"/>
      </w:pPr>
      <w:r>
        <w:t xml:space="preserve"> </w:t>
      </w:r>
    </w:p>
    <w:p w:rsidR="000C3107" w:rsidRPr="00A86CD3" w:rsidRDefault="00EC42F5">
      <w:pPr>
        <w:spacing w:before="240" w:after="240" w:line="360" w:lineRule="auto"/>
      </w:pPr>
      <w:r w:rsidRPr="00A86CD3">
        <w:t xml:space="preserve">Garrido, Esteban                                                         </w:t>
      </w:r>
      <w:r w:rsidR="004F73CF">
        <w:t xml:space="preserve">  </w:t>
      </w:r>
      <w:r w:rsidRPr="00A86CD3">
        <w:t xml:space="preserve"> Thourte, Manuela  </w:t>
      </w:r>
    </w:p>
    <w:p w:rsidR="000C3107" w:rsidRPr="00A86CD3" w:rsidRDefault="000C3107">
      <w:pPr>
        <w:spacing w:before="240" w:after="240" w:line="360" w:lineRule="auto"/>
      </w:pPr>
    </w:p>
    <w:p w:rsidR="000C3107" w:rsidRPr="00A86CD3" w:rsidRDefault="000C3107">
      <w:pPr>
        <w:spacing w:before="240" w:after="240" w:line="360" w:lineRule="auto"/>
      </w:pPr>
    </w:p>
    <w:p w:rsidR="000C3107" w:rsidRPr="00A86CD3" w:rsidRDefault="00EC42F5">
      <w:pPr>
        <w:spacing w:before="240" w:after="240" w:line="360" w:lineRule="auto"/>
      </w:pPr>
      <w:r w:rsidRPr="00A86CD3">
        <w:t>Valdés, Juan Manuel                                                      Kienast, Marina</w:t>
      </w:r>
    </w:p>
    <w:p w:rsidR="000C3107" w:rsidRPr="00A86CD3" w:rsidRDefault="000C3107">
      <w:pPr>
        <w:spacing w:before="240" w:after="240" w:line="360" w:lineRule="auto"/>
      </w:pPr>
    </w:p>
    <w:p w:rsidR="000C3107" w:rsidRPr="00A86CD3" w:rsidRDefault="000C3107">
      <w:pPr>
        <w:spacing w:before="240" w:after="240" w:line="360" w:lineRule="auto"/>
      </w:pPr>
    </w:p>
    <w:p w:rsidR="000C3107" w:rsidRPr="00A86CD3" w:rsidRDefault="00EC42F5">
      <w:pPr>
        <w:spacing w:before="240" w:after="240" w:line="360" w:lineRule="auto"/>
      </w:pPr>
      <w:r w:rsidRPr="00A86CD3">
        <w:t>Barreto, Jessica                                                                Vitali, Franco</w:t>
      </w:r>
    </w:p>
    <w:p w:rsidR="000C3107" w:rsidRDefault="000C3107">
      <w:pPr>
        <w:spacing w:before="240" w:after="240" w:line="360" w:lineRule="auto"/>
      </w:pPr>
    </w:p>
    <w:p w:rsidR="000C3107" w:rsidRDefault="000C3107">
      <w:pPr>
        <w:spacing w:before="240" w:after="240" w:line="360" w:lineRule="auto"/>
      </w:pPr>
    </w:p>
    <w:p w:rsidR="000C3107" w:rsidRDefault="000C3107"/>
    <w:sectPr w:rsidR="000C3107" w:rsidSect="00A86CD3">
      <w:headerReference w:type="default" r:id="rId8"/>
      <w:footerReference w:type="default" r:id="rId9"/>
      <w:pgSz w:w="12242" w:h="20163" w:code="5"/>
      <w:pgMar w:top="2977" w:right="851" w:bottom="1418" w:left="2835" w:header="720" w:footer="720" w:gutter="0"/>
      <w:pgNumType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3E70" w:rsidRDefault="00BF3E70">
      <w:r>
        <w:separator/>
      </w:r>
    </w:p>
  </w:endnote>
  <w:endnote w:type="continuationSeparator" w:id="0">
    <w:p w:rsidR="00BF3E70" w:rsidRDefault="00BF3E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07" w:rsidRDefault="000C3107">
    <w:pPr>
      <w:pBdr>
        <w:top w:val="nil"/>
        <w:left w:val="nil"/>
        <w:bottom w:val="nil"/>
        <w:right w:val="nil"/>
        <w:between w:val="nil"/>
      </w:pBdr>
      <w:tabs>
        <w:tab w:val="center" w:pos="4419"/>
        <w:tab w:val="right" w:pos="8838"/>
      </w:tabs>
      <w:rPr>
        <w:color w:val="333333"/>
        <w:sz w:val="20"/>
        <w:szCs w:val="20"/>
      </w:rPr>
    </w:pPr>
  </w:p>
  <w:p w:rsidR="000C3107" w:rsidRDefault="00EC42F5">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09/05/2022 18:15:00  -  Cantidad de caracteres: 2467 - Cantidad de palabras: 477</w:t>
    </w:r>
  </w:p>
  <w:p w:rsidR="000C3107" w:rsidRDefault="00EC42F5">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731EF4">
      <w:rPr>
        <w:color w:val="333333"/>
      </w:rPr>
      <w:fldChar w:fldCharType="begin"/>
    </w:r>
    <w:r>
      <w:rPr>
        <w:color w:val="333333"/>
      </w:rPr>
      <w:instrText>PAGE</w:instrText>
    </w:r>
    <w:r w:rsidR="00731EF4">
      <w:rPr>
        <w:color w:val="333333"/>
      </w:rPr>
      <w:fldChar w:fldCharType="separate"/>
    </w:r>
    <w:r w:rsidR="006861F4">
      <w:rPr>
        <w:noProof/>
        <w:color w:val="333333"/>
      </w:rPr>
      <w:t>1</w:t>
    </w:r>
    <w:r w:rsidR="00731EF4">
      <w:rPr>
        <w:color w:val="333333"/>
      </w:rPr>
      <w:fldChar w:fldCharType="end"/>
    </w:r>
    <w:r>
      <w:rPr>
        <w:color w:val="333333"/>
      </w:rPr>
      <w:t>/</w:t>
    </w:r>
    <w:r w:rsidR="00731EF4">
      <w:rPr>
        <w:color w:val="000000"/>
      </w:rPr>
      <w:fldChar w:fldCharType="begin"/>
    </w:r>
    <w:r>
      <w:rPr>
        <w:color w:val="000000"/>
      </w:rPr>
      <w:instrText>NUMPAGES</w:instrText>
    </w:r>
    <w:r w:rsidR="00731EF4">
      <w:rPr>
        <w:color w:val="000000"/>
      </w:rPr>
      <w:fldChar w:fldCharType="separate"/>
    </w:r>
    <w:r w:rsidR="006861F4">
      <w:rPr>
        <w:noProof/>
        <w:color w:val="000000"/>
      </w:rPr>
      <w:t>6</w:t>
    </w:r>
    <w:r w:rsidR="00731EF4">
      <w:rPr>
        <w:color w:val="000000"/>
      </w:rPr>
      <w:fldChar w:fldCharType="end"/>
    </w:r>
    <w:r>
      <w:rPr>
        <w:color w:val="333333"/>
      </w:rPr>
      <w:t xml:space="preserve"> </w:t>
    </w:r>
  </w:p>
  <w:p w:rsidR="000C3107" w:rsidRDefault="000C3107">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3E70" w:rsidRDefault="00BF3E70">
      <w:r>
        <w:separator/>
      </w:r>
    </w:p>
  </w:footnote>
  <w:footnote w:type="continuationSeparator" w:id="0">
    <w:p w:rsidR="00BF3E70" w:rsidRDefault="00BF3E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07" w:rsidRDefault="00EC42F5">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eastAsia="es-ES"/>
      </w:rPr>
      <w:drawing>
        <wp:inline distT="0" distB="0" distL="0" distR="0">
          <wp:extent cx="1885950" cy="342900"/>
          <wp:effectExtent l="0" t="0" r="0" b="0"/>
          <wp:docPr id="3" name="image1.png" descr="logo1.jpg"/>
          <wp:cNvGraphicFramePr/>
          <a:graphic xmlns:a="http://schemas.openxmlformats.org/drawingml/2006/main">
            <a:graphicData uri="http://schemas.openxmlformats.org/drawingml/2006/picture">
              <pic:pic xmlns:pic="http://schemas.openxmlformats.org/drawingml/2006/picture">
                <pic:nvPicPr>
                  <pic:cNvPr id="0" name="image1.pn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0C3107" w:rsidRDefault="000C3107">
    <w:pPr>
      <w:pBdr>
        <w:top w:val="nil"/>
        <w:left w:val="nil"/>
        <w:bottom w:val="nil"/>
        <w:right w:val="nil"/>
        <w:between w:val="nil"/>
      </w:pBdr>
      <w:tabs>
        <w:tab w:val="center" w:pos="4419"/>
        <w:tab w:val="right" w:pos="8838"/>
      </w:tabs>
      <w:jc w:val="center"/>
      <w:rPr>
        <w:i/>
        <w:color w:val="000000"/>
        <w:highlight w:val="white"/>
      </w:rPr>
    </w:pPr>
  </w:p>
  <w:p w:rsidR="000C3107" w:rsidRDefault="000C3107">
    <w:pPr>
      <w:pBdr>
        <w:top w:val="nil"/>
        <w:left w:val="nil"/>
        <w:bottom w:val="nil"/>
        <w:right w:val="nil"/>
        <w:between w:val="nil"/>
      </w:pBdr>
      <w:tabs>
        <w:tab w:val="center" w:pos="4419"/>
        <w:tab w:val="right" w:pos="8838"/>
      </w:tabs>
      <w:jc w:val="center"/>
      <w:rPr>
        <w:i/>
        <w:color w:val="000000"/>
        <w:highlight w:val="white"/>
      </w:rPr>
    </w:pPr>
  </w:p>
  <w:p w:rsidR="000C3107" w:rsidRDefault="000C3107">
    <w:pPr>
      <w:pBdr>
        <w:top w:val="nil"/>
        <w:left w:val="nil"/>
        <w:bottom w:val="nil"/>
        <w:right w:val="nil"/>
        <w:between w:val="nil"/>
      </w:pBdr>
      <w:tabs>
        <w:tab w:val="center" w:pos="4419"/>
        <w:tab w:val="right" w:pos="8838"/>
      </w:tabs>
      <w:jc w:val="center"/>
      <w:rPr>
        <w:i/>
        <w:color w:val="000000"/>
        <w:highlight w:val="white"/>
      </w:rPr>
    </w:pPr>
  </w:p>
  <w:p w:rsidR="000C3107" w:rsidRDefault="00733131">
    <w:pPr>
      <w:pBdr>
        <w:top w:val="nil"/>
        <w:left w:val="nil"/>
        <w:bottom w:val="nil"/>
        <w:right w:val="nil"/>
        <w:between w:val="nil"/>
      </w:pBdr>
      <w:tabs>
        <w:tab w:val="center" w:pos="4419"/>
        <w:tab w:val="right" w:pos="8838"/>
      </w:tabs>
      <w:jc w:val="right"/>
      <w:rPr>
        <w:i/>
        <w:color w:val="000000"/>
        <w:highlight w:val="white"/>
      </w:rPr>
    </w:pPr>
    <w:r>
      <w:rPr>
        <w:i/>
        <w:color w:val="000000"/>
        <w:highlight w:val="white"/>
      </w:rPr>
      <w:t>Ref. Expediente N°</w:t>
    </w:r>
    <w:r w:rsidR="00A86CD3">
      <w:rPr>
        <w:i/>
        <w:color w:val="000000"/>
        <w:highlight w:val="white"/>
      </w:rPr>
      <w:t xml:space="preserve"> 2803-D</w:t>
    </w:r>
    <w:r w:rsidR="00EC42F5">
      <w:rPr>
        <w:i/>
        <w:color w:val="000000"/>
        <w:highlight w:val="white"/>
      </w:rPr>
      <w:t>-202</w:t>
    </w:r>
    <w:r w:rsidR="00FF11B3">
      <w:rPr>
        <w:i/>
        <w:color w:val="000000"/>
        <w:highlight w:val="white"/>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936D83"/>
    <w:multiLevelType w:val="multilevel"/>
    <w:tmpl w:val="CF5A273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4D057D0C"/>
    <w:multiLevelType w:val="multilevel"/>
    <w:tmpl w:val="00A89D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6A811958"/>
    <w:multiLevelType w:val="multilevel"/>
    <w:tmpl w:val="E8C8E9C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0C3107"/>
    <w:rsid w:val="000015DE"/>
    <w:rsid w:val="000530B8"/>
    <w:rsid w:val="000C3107"/>
    <w:rsid w:val="003C4D6C"/>
    <w:rsid w:val="004A7815"/>
    <w:rsid w:val="004F73CF"/>
    <w:rsid w:val="00521673"/>
    <w:rsid w:val="00591088"/>
    <w:rsid w:val="00621D7E"/>
    <w:rsid w:val="006861F4"/>
    <w:rsid w:val="006979C2"/>
    <w:rsid w:val="00731EF4"/>
    <w:rsid w:val="00733131"/>
    <w:rsid w:val="00754F16"/>
    <w:rsid w:val="007912C7"/>
    <w:rsid w:val="00990773"/>
    <w:rsid w:val="00A86CD3"/>
    <w:rsid w:val="00B27CA9"/>
    <w:rsid w:val="00B65A9A"/>
    <w:rsid w:val="00BF3E70"/>
    <w:rsid w:val="00C4198C"/>
    <w:rsid w:val="00DA3458"/>
    <w:rsid w:val="00DF06FA"/>
    <w:rsid w:val="00E16369"/>
    <w:rsid w:val="00EC42F5"/>
    <w:rsid w:val="00F71FF3"/>
    <w:rsid w:val="00FF11B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AR"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A3458"/>
  </w:style>
  <w:style w:type="paragraph" w:styleId="Ttulo1">
    <w:name w:val="heading 1"/>
    <w:basedOn w:val="Normal"/>
    <w:next w:val="Normal"/>
    <w:rsid w:val="00DA3458"/>
    <w:pPr>
      <w:keepNext/>
      <w:keepLines/>
      <w:spacing w:before="480" w:after="120"/>
      <w:outlineLvl w:val="0"/>
    </w:pPr>
    <w:rPr>
      <w:b/>
      <w:sz w:val="48"/>
      <w:szCs w:val="48"/>
    </w:rPr>
  </w:style>
  <w:style w:type="paragraph" w:styleId="Ttulo2">
    <w:name w:val="heading 2"/>
    <w:basedOn w:val="Normal"/>
    <w:next w:val="Normal"/>
    <w:rsid w:val="00DA3458"/>
    <w:pPr>
      <w:keepNext/>
      <w:keepLines/>
      <w:spacing w:before="360" w:after="80"/>
      <w:outlineLvl w:val="1"/>
    </w:pPr>
    <w:rPr>
      <w:b/>
      <w:sz w:val="36"/>
      <w:szCs w:val="36"/>
    </w:rPr>
  </w:style>
  <w:style w:type="paragraph" w:styleId="Ttulo3">
    <w:name w:val="heading 3"/>
    <w:basedOn w:val="Normal"/>
    <w:next w:val="Normal"/>
    <w:rsid w:val="00DA3458"/>
    <w:pPr>
      <w:keepNext/>
      <w:keepLines/>
      <w:spacing w:before="280" w:after="80"/>
      <w:outlineLvl w:val="2"/>
    </w:pPr>
    <w:rPr>
      <w:b/>
      <w:sz w:val="28"/>
      <w:szCs w:val="28"/>
    </w:rPr>
  </w:style>
  <w:style w:type="paragraph" w:styleId="Ttulo4">
    <w:name w:val="heading 4"/>
    <w:basedOn w:val="Normal"/>
    <w:next w:val="Normal"/>
    <w:rsid w:val="00DA3458"/>
    <w:pPr>
      <w:keepNext/>
      <w:keepLines/>
      <w:spacing w:before="240" w:after="40"/>
      <w:outlineLvl w:val="3"/>
    </w:pPr>
    <w:rPr>
      <w:b/>
    </w:rPr>
  </w:style>
  <w:style w:type="paragraph" w:styleId="Ttulo5">
    <w:name w:val="heading 5"/>
    <w:basedOn w:val="Normal"/>
    <w:next w:val="Normal"/>
    <w:rsid w:val="00DA3458"/>
    <w:pPr>
      <w:keepNext/>
      <w:keepLines/>
      <w:spacing w:before="220" w:after="40"/>
      <w:outlineLvl w:val="4"/>
    </w:pPr>
    <w:rPr>
      <w:b/>
      <w:sz w:val="22"/>
      <w:szCs w:val="22"/>
    </w:rPr>
  </w:style>
  <w:style w:type="paragraph" w:styleId="Ttulo6">
    <w:name w:val="heading 6"/>
    <w:basedOn w:val="Normal"/>
    <w:next w:val="Normal"/>
    <w:rsid w:val="00DA3458"/>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DA3458"/>
    <w:tblPr>
      <w:tblCellMar>
        <w:top w:w="0" w:type="dxa"/>
        <w:left w:w="0" w:type="dxa"/>
        <w:bottom w:w="0" w:type="dxa"/>
        <w:right w:w="0" w:type="dxa"/>
      </w:tblCellMar>
    </w:tblPr>
  </w:style>
  <w:style w:type="paragraph" w:styleId="Ttulo">
    <w:name w:val="Title"/>
    <w:basedOn w:val="Normal"/>
    <w:next w:val="Normal"/>
    <w:rsid w:val="00DA3458"/>
    <w:pPr>
      <w:keepNext/>
      <w:keepLines/>
      <w:spacing w:before="480" w:after="120"/>
    </w:pPr>
    <w:rPr>
      <w:b/>
      <w:sz w:val="72"/>
      <w:szCs w:val="72"/>
    </w:rPr>
  </w:style>
  <w:style w:type="table" w:customStyle="1" w:styleId="TableNormal0">
    <w:name w:val="Table Normal"/>
    <w:rsid w:val="00DA3458"/>
    <w:tblPr>
      <w:tblCellMar>
        <w:top w:w="0" w:type="dxa"/>
        <w:left w:w="0" w:type="dxa"/>
        <w:bottom w:w="0" w:type="dxa"/>
        <w:right w:w="0" w:type="dxa"/>
      </w:tblCellMar>
    </w:tblPr>
  </w:style>
  <w:style w:type="table" w:customStyle="1" w:styleId="TableNormal1">
    <w:name w:val="Table Normal"/>
    <w:rsid w:val="00DA3458"/>
    <w:tblPr>
      <w:tblCellMar>
        <w:top w:w="0" w:type="dxa"/>
        <w:left w:w="0" w:type="dxa"/>
        <w:bottom w:w="0" w:type="dxa"/>
        <w:right w:w="0" w:type="dxa"/>
      </w:tblCellMar>
    </w:tblPr>
  </w:style>
  <w:style w:type="paragraph" w:styleId="Subttulo">
    <w:name w:val="Subtitle"/>
    <w:basedOn w:val="Normal"/>
    <w:next w:val="Normal"/>
    <w:rsid w:val="00DA3458"/>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3C4D6C"/>
    <w:rPr>
      <w:rFonts w:ascii="Tahoma" w:hAnsi="Tahoma" w:cs="Tahoma"/>
      <w:sz w:val="16"/>
      <w:szCs w:val="16"/>
    </w:rPr>
  </w:style>
  <w:style w:type="character" w:customStyle="1" w:styleId="TextodegloboCar">
    <w:name w:val="Texto de globo Car"/>
    <w:basedOn w:val="Fuentedeprrafopredeter"/>
    <w:link w:val="Textodeglobo"/>
    <w:uiPriority w:val="99"/>
    <w:semiHidden/>
    <w:rsid w:val="003C4D6C"/>
    <w:rPr>
      <w:rFonts w:ascii="Tahoma" w:hAnsi="Tahoma" w:cs="Tahoma"/>
      <w:sz w:val="16"/>
      <w:szCs w:val="16"/>
    </w:rPr>
  </w:style>
  <w:style w:type="paragraph" w:styleId="Encabezado">
    <w:name w:val="header"/>
    <w:basedOn w:val="Normal"/>
    <w:link w:val="EncabezadoCar"/>
    <w:uiPriority w:val="99"/>
    <w:unhideWhenUsed/>
    <w:rsid w:val="006979C2"/>
    <w:pPr>
      <w:tabs>
        <w:tab w:val="center" w:pos="4252"/>
        <w:tab w:val="right" w:pos="8504"/>
      </w:tabs>
    </w:pPr>
  </w:style>
  <w:style w:type="character" w:customStyle="1" w:styleId="EncabezadoCar">
    <w:name w:val="Encabezado Car"/>
    <w:basedOn w:val="Fuentedeprrafopredeter"/>
    <w:link w:val="Encabezado"/>
    <w:uiPriority w:val="99"/>
    <w:rsid w:val="006979C2"/>
  </w:style>
  <w:style w:type="paragraph" w:styleId="Piedepgina">
    <w:name w:val="footer"/>
    <w:basedOn w:val="Normal"/>
    <w:link w:val="PiedepginaCar"/>
    <w:uiPriority w:val="99"/>
    <w:unhideWhenUsed/>
    <w:rsid w:val="006979C2"/>
    <w:pPr>
      <w:tabs>
        <w:tab w:val="center" w:pos="4252"/>
        <w:tab w:val="right" w:pos="8504"/>
      </w:tabs>
    </w:pPr>
  </w:style>
  <w:style w:type="character" w:customStyle="1" w:styleId="PiedepginaCar">
    <w:name w:val="Pie de página Car"/>
    <w:basedOn w:val="Fuentedeprrafopredeter"/>
    <w:link w:val="Piedepgina"/>
    <w:uiPriority w:val="99"/>
    <w:rsid w:val="006979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s-AR"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3C4D6C"/>
    <w:rPr>
      <w:rFonts w:ascii="Tahoma" w:hAnsi="Tahoma" w:cs="Tahoma"/>
      <w:sz w:val="16"/>
      <w:szCs w:val="16"/>
    </w:rPr>
  </w:style>
  <w:style w:type="character" w:customStyle="1" w:styleId="TextodegloboCar">
    <w:name w:val="Texto de globo Car"/>
    <w:basedOn w:val="Fuentedeprrafopredeter"/>
    <w:link w:val="Textodeglobo"/>
    <w:uiPriority w:val="99"/>
    <w:semiHidden/>
    <w:rsid w:val="003C4D6C"/>
    <w:rPr>
      <w:rFonts w:ascii="Tahoma" w:hAnsi="Tahoma" w:cs="Tahoma"/>
      <w:sz w:val="16"/>
      <w:szCs w:val="16"/>
    </w:rPr>
  </w:style>
  <w:style w:type="paragraph" w:styleId="Encabezado">
    <w:name w:val="header"/>
    <w:basedOn w:val="Normal"/>
    <w:link w:val="EncabezadoCar"/>
    <w:uiPriority w:val="99"/>
    <w:unhideWhenUsed/>
    <w:rsid w:val="006979C2"/>
    <w:pPr>
      <w:tabs>
        <w:tab w:val="center" w:pos="4252"/>
        <w:tab w:val="right" w:pos="8504"/>
      </w:tabs>
    </w:pPr>
  </w:style>
  <w:style w:type="character" w:customStyle="1" w:styleId="EncabezadoCar">
    <w:name w:val="Encabezado Car"/>
    <w:basedOn w:val="Fuentedeprrafopredeter"/>
    <w:link w:val="Encabezado"/>
    <w:uiPriority w:val="99"/>
    <w:rsid w:val="006979C2"/>
  </w:style>
  <w:style w:type="paragraph" w:styleId="Piedepgina">
    <w:name w:val="footer"/>
    <w:basedOn w:val="Normal"/>
    <w:link w:val="PiedepginaCar"/>
    <w:uiPriority w:val="99"/>
    <w:unhideWhenUsed/>
    <w:rsid w:val="006979C2"/>
    <w:pPr>
      <w:tabs>
        <w:tab w:val="center" w:pos="4252"/>
        <w:tab w:val="right" w:pos="8504"/>
      </w:tabs>
    </w:pPr>
  </w:style>
  <w:style w:type="character" w:customStyle="1" w:styleId="PiedepginaCar">
    <w:name w:val="Pie de página Car"/>
    <w:basedOn w:val="Fuentedeprrafopredeter"/>
    <w:link w:val="Piedepgina"/>
    <w:uiPriority w:val="99"/>
    <w:rsid w:val="006979C2"/>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0OnvfEcoRai7XoouN1uuXwmwpg==">AMUW2mXLqyU8aIkEAiBqjkgzg3xkz3Og2/YTTjAs0420sA8o9JsHzDLKfVhLVuYWQVMEkFZdThLEwKPi5let8eK2rEo08om3SJ8bdbLHNGQIKVQ982ag7VNGE6nKALeT5SiekavEjYn+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2093</Words>
  <Characters>11514</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garodriguez</dc:creator>
  <cp:lastModifiedBy>garodriguez</cp:lastModifiedBy>
  <cp:revision>2</cp:revision>
  <dcterms:created xsi:type="dcterms:W3CDTF">2022-10-31T13:34:00Z</dcterms:created>
  <dcterms:modified xsi:type="dcterms:W3CDTF">2022-10-31T13:34:00Z</dcterms:modified>
</cp:coreProperties>
</file>